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29CF" w14:textId="197449BD" w:rsidR="00C02EDD" w:rsidRPr="00425C6E" w:rsidRDefault="00F00886" w:rsidP="00C02EDD">
      <w:pPr>
        <w:spacing w:before="120" w:line="360" w:lineRule="auto"/>
        <w:ind w:hanging="142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RESOLUÇÃO</w:t>
      </w:r>
      <w:r w:rsidR="006230A0" w:rsidRPr="00425C6E">
        <w:rPr>
          <w:rFonts w:ascii="Times New Roman" w:hAnsi="Times New Roman" w:cs="Times New Roman"/>
          <w:b/>
          <w:bCs/>
          <w:sz w:val="24"/>
        </w:rPr>
        <w:t xml:space="preserve"> </w:t>
      </w:r>
      <w:r w:rsidR="004E1856" w:rsidRPr="00425C6E">
        <w:rPr>
          <w:rFonts w:ascii="Times New Roman" w:hAnsi="Times New Roman" w:cs="Times New Roman"/>
          <w:b/>
          <w:bCs/>
          <w:sz w:val="24"/>
        </w:rPr>
        <w:t>Nº XX</w:t>
      </w:r>
      <w:r w:rsidR="005B3764" w:rsidRPr="00425C6E">
        <w:rPr>
          <w:rFonts w:ascii="Times New Roman" w:hAnsi="Times New Roman" w:cs="Times New Roman"/>
          <w:b/>
          <w:bCs/>
          <w:sz w:val="24"/>
        </w:rPr>
        <w:t xml:space="preserve"> </w:t>
      </w:r>
      <w:r w:rsidR="004E1856" w:rsidRPr="00425C6E">
        <w:rPr>
          <w:rFonts w:ascii="Times New Roman" w:hAnsi="Times New Roman" w:cs="Times New Roman"/>
          <w:b/>
          <w:bCs/>
          <w:sz w:val="24"/>
        </w:rPr>
        <w:t xml:space="preserve"> DE XX DE OUTUBRO DE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20</w:t>
      </w:r>
      <w:r w:rsidR="00391D73" w:rsidRPr="00425C6E">
        <w:rPr>
          <w:rFonts w:ascii="Times New Roman" w:hAnsi="Times New Roman" w:cs="Times New Roman"/>
          <w:b/>
          <w:bCs/>
          <w:sz w:val="24"/>
        </w:rPr>
        <w:t>20</w:t>
      </w:r>
    </w:p>
    <w:p w14:paraId="01A6DE93" w14:textId="32AF5448" w:rsidR="00921E02" w:rsidRPr="00425C6E" w:rsidRDefault="00F91AD3" w:rsidP="00C15D32">
      <w:pPr>
        <w:spacing w:before="240" w:after="240"/>
        <w:ind w:left="4961"/>
        <w:jc w:val="both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sz w:val="24"/>
          <w:szCs w:val="24"/>
        </w:rPr>
        <w:t>Estabelece a</w:t>
      </w:r>
      <w:r w:rsidR="00C15D32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4D53D4" w:rsidRPr="00425C6E">
        <w:rPr>
          <w:rFonts w:ascii="Times New Roman" w:hAnsi="Times New Roman" w:cs="Times New Roman"/>
          <w:sz w:val="24"/>
          <w:szCs w:val="24"/>
        </w:rPr>
        <w:t xml:space="preserve">Estratégia Nacional de Tecnologia da Informação e Comunicação do Poder Judiciário </w:t>
      </w:r>
      <w:r w:rsidR="00C15D32" w:rsidRPr="00425C6E">
        <w:rPr>
          <w:rFonts w:ascii="Times New Roman" w:hAnsi="Times New Roman" w:cs="Times New Roman"/>
          <w:sz w:val="24"/>
          <w:szCs w:val="24"/>
        </w:rPr>
        <w:t>(ENTIC-JUD</w:t>
      </w:r>
      <w:r w:rsidR="00D5337D" w:rsidRPr="00425C6E">
        <w:rPr>
          <w:rFonts w:ascii="Times New Roman" w:hAnsi="Times New Roman" w:cs="Times New Roman"/>
          <w:sz w:val="24"/>
          <w:szCs w:val="24"/>
        </w:rPr>
        <w:t>)</w:t>
      </w:r>
      <w:r w:rsidR="00C15D32" w:rsidRPr="00425C6E">
        <w:rPr>
          <w:rFonts w:ascii="Times New Roman" w:hAnsi="Times New Roman" w:cs="Times New Roman"/>
          <w:sz w:val="24"/>
          <w:szCs w:val="24"/>
        </w:rPr>
        <w:t>.</w:t>
      </w:r>
    </w:p>
    <w:p w14:paraId="3F8A7370" w14:textId="77777777" w:rsidR="00F42637" w:rsidRPr="00425C6E" w:rsidRDefault="00F42637" w:rsidP="00C15D32">
      <w:pPr>
        <w:spacing w:before="240" w:after="240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14:paraId="4204F804" w14:textId="67D8F04B" w:rsidR="00F6763A" w:rsidRPr="00425C6E" w:rsidRDefault="00C02EDD" w:rsidP="00F42637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 </w:t>
      </w:r>
      <w:r w:rsidR="00F42637" w:rsidRPr="00425C6E">
        <w:rPr>
          <w:rFonts w:ascii="Times New Roman" w:hAnsi="Times New Roman" w:cs="Times New Roman"/>
          <w:b/>
          <w:bCs/>
          <w:sz w:val="24"/>
        </w:rPr>
        <w:t>presidente</w:t>
      </w:r>
      <w:r w:rsidRPr="00425C6E">
        <w:rPr>
          <w:rFonts w:ascii="Times New Roman" w:hAnsi="Times New Roman" w:cs="Times New Roman"/>
          <w:b/>
          <w:bCs/>
          <w:sz w:val="24"/>
        </w:rPr>
        <w:t xml:space="preserve"> </w:t>
      </w:r>
      <w:r w:rsidR="00F42637" w:rsidRPr="00425C6E">
        <w:rPr>
          <w:rFonts w:ascii="Times New Roman" w:hAnsi="Times New Roman" w:cs="Times New Roman"/>
          <w:b/>
          <w:bCs/>
          <w:sz w:val="24"/>
        </w:rPr>
        <w:t>do</w:t>
      </w:r>
      <w:r w:rsidRPr="00425C6E">
        <w:rPr>
          <w:rFonts w:ascii="Times New Roman" w:hAnsi="Times New Roman" w:cs="Times New Roman"/>
          <w:b/>
          <w:bCs/>
          <w:sz w:val="24"/>
        </w:rPr>
        <w:t xml:space="preserve"> CONSELHO NACIONAL DE JUSTIÇA (CNJ</w:t>
      </w:r>
      <w:r w:rsidRPr="00425C6E">
        <w:rPr>
          <w:rFonts w:ascii="Times New Roman" w:hAnsi="Times New Roman" w:cs="Times New Roman"/>
          <w:sz w:val="24"/>
        </w:rPr>
        <w:t>), no uso de suas atribuições legais e regimentais</w:t>
      </w:r>
      <w:r w:rsidR="00270411" w:rsidRPr="00425C6E">
        <w:rPr>
          <w:rFonts w:ascii="Times New Roman" w:hAnsi="Times New Roman" w:cs="Times New Roman"/>
          <w:sz w:val="24"/>
        </w:rPr>
        <w:t>,</w:t>
      </w:r>
    </w:p>
    <w:p w14:paraId="7D9E5C4B" w14:textId="77777777" w:rsidR="00E3794A" w:rsidRPr="00425C6E" w:rsidRDefault="00E3794A" w:rsidP="00B95743">
      <w:pPr>
        <w:spacing w:before="120" w:line="360" w:lineRule="auto"/>
        <w:jc w:val="both"/>
        <w:rPr>
          <w:rFonts w:ascii="Times New Roman" w:hAnsi="Times New Roman" w:cs="Times New Roman"/>
          <w:sz w:val="24"/>
        </w:rPr>
      </w:pPr>
    </w:p>
    <w:p w14:paraId="356AC8E4" w14:textId="22CC7FCD" w:rsidR="00921E02" w:rsidRPr="00425C6E" w:rsidRDefault="00C02EDD" w:rsidP="00921E02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CONSIDERANDO</w:t>
      </w:r>
      <w:r w:rsidRPr="00425C6E">
        <w:rPr>
          <w:rFonts w:ascii="Times New Roman" w:hAnsi="Times New Roman" w:cs="Times New Roman"/>
          <w:sz w:val="24"/>
        </w:rPr>
        <w:t xml:space="preserve"> os </w:t>
      </w:r>
      <w:proofErr w:type="spellStart"/>
      <w:r w:rsidRPr="00425C6E">
        <w:rPr>
          <w:rFonts w:ascii="Times New Roman" w:hAnsi="Times New Roman" w:cs="Times New Roman"/>
          <w:sz w:val="24"/>
        </w:rPr>
        <w:t>macrodesafios</w:t>
      </w:r>
      <w:proofErr w:type="spellEnd"/>
      <w:r w:rsidRPr="00425C6E">
        <w:rPr>
          <w:rFonts w:ascii="Times New Roman" w:hAnsi="Times New Roman" w:cs="Times New Roman"/>
          <w:sz w:val="24"/>
        </w:rPr>
        <w:t xml:space="preserve"> d</w:t>
      </w:r>
      <w:r w:rsidR="00760FF0" w:rsidRPr="00425C6E">
        <w:rPr>
          <w:rFonts w:ascii="Times New Roman" w:hAnsi="Times New Roman" w:cs="Times New Roman"/>
          <w:sz w:val="24"/>
        </w:rPr>
        <w:t xml:space="preserve">a </w:t>
      </w:r>
      <w:r w:rsidR="004D53D4" w:rsidRPr="00425C6E">
        <w:rPr>
          <w:rFonts w:ascii="Times New Roman" w:hAnsi="Times New Roman" w:cs="Times New Roman"/>
          <w:sz w:val="24"/>
        </w:rPr>
        <w:t>Estratégia Nacional de Tecnologia da Informação e Comunicação do Poder Judiciário</w:t>
      </w:r>
      <w:r w:rsidR="00E74CA7" w:rsidRPr="00425C6E">
        <w:rPr>
          <w:rFonts w:ascii="Times New Roman" w:hAnsi="Times New Roman" w:cs="Times New Roman"/>
          <w:sz w:val="24"/>
        </w:rPr>
        <w:t xml:space="preserve"> </w:t>
      </w:r>
      <w:r w:rsidR="00E74CA7" w:rsidRPr="00425C6E">
        <w:rPr>
          <w:rFonts w:ascii="Times New Roman" w:hAnsi="Times New Roman" w:cs="Times New Roman"/>
          <w:sz w:val="24"/>
          <w:szCs w:val="24"/>
        </w:rPr>
        <w:t>(ENTIC-JUD)</w:t>
      </w:r>
      <w:r w:rsidR="004D53D4" w:rsidRPr="00425C6E">
        <w:rPr>
          <w:rFonts w:ascii="Times New Roman" w:hAnsi="Times New Roman" w:cs="Times New Roman"/>
          <w:sz w:val="24"/>
        </w:rPr>
        <w:t xml:space="preserve"> </w:t>
      </w:r>
      <w:r w:rsidRPr="00425C6E">
        <w:rPr>
          <w:rFonts w:ascii="Times New Roman" w:hAnsi="Times New Roman" w:cs="Times New Roman"/>
          <w:sz w:val="24"/>
        </w:rPr>
        <w:t xml:space="preserve">para o período </w:t>
      </w:r>
      <w:r w:rsidR="00873B10" w:rsidRPr="00425C6E">
        <w:rPr>
          <w:rFonts w:ascii="Times New Roman" w:hAnsi="Times New Roman" w:cs="Times New Roman"/>
          <w:sz w:val="24"/>
        </w:rPr>
        <w:t>2021</w:t>
      </w:r>
      <w:r w:rsidR="00F42637" w:rsidRPr="00425C6E">
        <w:rPr>
          <w:rFonts w:ascii="Times New Roman" w:hAnsi="Times New Roman" w:cs="Times New Roman"/>
          <w:sz w:val="24"/>
        </w:rPr>
        <w:t xml:space="preserve">- </w:t>
      </w:r>
      <w:r w:rsidR="00873B10" w:rsidRPr="00425C6E">
        <w:rPr>
          <w:rFonts w:ascii="Times New Roman" w:hAnsi="Times New Roman" w:cs="Times New Roman"/>
          <w:sz w:val="24"/>
        </w:rPr>
        <w:t>2026</w:t>
      </w:r>
      <w:r w:rsidRPr="00425C6E">
        <w:rPr>
          <w:rFonts w:ascii="Times New Roman" w:hAnsi="Times New Roman" w:cs="Times New Roman"/>
          <w:sz w:val="24"/>
        </w:rPr>
        <w:t>, em especial o que trata d</w:t>
      </w:r>
      <w:r w:rsidR="00206262" w:rsidRPr="00425C6E">
        <w:rPr>
          <w:rFonts w:ascii="Times New Roman" w:hAnsi="Times New Roman" w:cs="Times New Roman"/>
          <w:sz w:val="24"/>
        </w:rPr>
        <w:t>o</w:t>
      </w:r>
      <w:r w:rsidR="00921E02" w:rsidRPr="00425C6E">
        <w:rPr>
          <w:rFonts w:ascii="Times New Roman" w:hAnsi="Times New Roman" w:cs="Times New Roman"/>
          <w:sz w:val="24"/>
        </w:rPr>
        <w:t xml:space="preserve"> </w:t>
      </w:r>
      <w:r w:rsidR="00D55F28" w:rsidRPr="00425C6E">
        <w:rPr>
          <w:rFonts w:ascii="Times New Roman" w:hAnsi="Times New Roman" w:cs="Times New Roman"/>
          <w:sz w:val="24"/>
        </w:rPr>
        <w:t>“</w:t>
      </w:r>
      <w:r w:rsidR="007D5107" w:rsidRPr="00425C6E">
        <w:rPr>
          <w:rFonts w:ascii="Times New Roman" w:hAnsi="Times New Roman" w:cs="Times New Roman"/>
          <w:sz w:val="24"/>
        </w:rPr>
        <w:t>Fortalecimento da Estratégia Nacional de TIC e de Proteção de Dados</w:t>
      </w:r>
      <w:r w:rsidR="00D55F28" w:rsidRPr="00425C6E">
        <w:rPr>
          <w:rFonts w:ascii="Times New Roman" w:hAnsi="Times New Roman" w:cs="Times New Roman"/>
          <w:sz w:val="24"/>
        </w:rPr>
        <w:t>"</w:t>
      </w:r>
      <w:r w:rsidR="0038407F" w:rsidRPr="00425C6E">
        <w:rPr>
          <w:rFonts w:ascii="Times New Roman" w:hAnsi="Times New Roman" w:cs="Times New Roman"/>
          <w:sz w:val="24"/>
        </w:rPr>
        <w:t xml:space="preserve"> – Resolução </w:t>
      </w:r>
      <w:r w:rsidR="00C52437" w:rsidRPr="00425C6E">
        <w:rPr>
          <w:rFonts w:ascii="Times New Roman" w:hAnsi="Times New Roman" w:cs="Times New Roman"/>
          <w:sz w:val="24"/>
        </w:rPr>
        <w:t>n</w:t>
      </w:r>
      <w:r w:rsidR="0038407F" w:rsidRPr="00425C6E">
        <w:rPr>
          <w:rFonts w:ascii="Times New Roman" w:hAnsi="Times New Roman" w:cs="Times New Roman"/>
          <w:sz w:val="24"/>
        </w:rPr>
        <w:t xml:space="preserve">º </w:t>
      </w:r>
      <w:r w:rsidR="00B700F5" w:rsidRPr="00425C6E">
        <w:rPr>
          <w:rFonts w:ascii="Times New Roman" w:hAnsi="Times New Roman" w:cs="Times New Roman"/>
          <w:sz w:val="24"/>
        </w:rPr>
        <w:t>325</w:t>
      </w:r>
      <w:r w:rsidR="0038407F" w:rsidRPr="00425C6E">
        <w:rPr>
          <w:rFonts w:ascii="Times New Roman" w:hAnsi="Times New Roman" w:cs="Times New Roman"/>
          <w:sz w:val="24"/>
        </w:rPr>
        <w:t>/2020</w:t>
      </w:r>
      <w:r w:rsidR="00270411" w:rsidRPr="00425C6E">
        <w:rPr>
          <w:rFonts w:ascii="Times New Roman" w:hAnsi="Times New Roman" w:cs="Times New Roman"/>
          <w:sz w:val="24"/>
        </w:rPr>
        <w:t>;</w:t>
      </w:r>
    </w:p>
    <w:p w14:paraId="77C94561" w14:textId="77777777" w:rsidR="00F6763A" w:rsidRPr="00425C6E" w:rsidRDefault="00F6763A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</w:p>
    <w:p w14:paraId="29D73986" w14:textId="4E5A2694" w:rsidR="00F6763A" w:rsidRPr="00425C6E" w:rsidRDefault="00D53204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CONSIDERANDO </w:t>
      </w:r>
      <w:r w:rsidRPr="00425C6E">
        <w:rPr>
          <w:rFonts w:ascii="Times New Roman" w:hAnsi="Times New Roman" w:cs="Times New Roman"/>
          <w:sz w:val="24"/>
        </w:rPr>
        <w:t>as atribuições estabelecidas pela Coordenação de Planejamento de T</w:t>
      </w:r>
      <w:r w:rsidR="00E74CA7" w:rsidRPr="00425C6E">
        <w:rPr>
          <w:rFonts w:ascii="Times New Roman" w:hAnsi="Times New Roman" w:cs="Times New Roman"/>
          <w:sz w:val="24"/>
        </w:rPr>
        <w:t>ecnologia da Informação e Comunicação (T</w:t>
      </w:r>
      <w:r w:rsidRPr="00425C6E">
        <w:rPr>
          <w:rFonts w:ascii="Times New Roman" w:hAnsi="Times New Roman" w:cs="Times New Roman"/>
          <w:sz w:val="24"/>
        </w:rPr>
        <w:t>IC</w:t>
      </w:r>
      <w:r w:rsidR="00E74CA7" w:rsidRPr="00425C6E">
        <w:rPr>
          <w:rFonts w:ascii="Times New Roman" w:hAnsi="Times New Roman" w:cs="Times New Roman"/>
          <w:sz w:val="24"/>
        </w:rPr>
        <w:t>)</w:t>
      </w:r>
      <w:r w:rsidRPr="00425C6E">
        <w:rPr>
          <w:rFonts w:ascii="Times New Roman" w:hAnsi="Times New Roman" w:cs="Times New Roman"/>
          <w:sz w:val="24"/>
        </w:rPr>
        <w:t xml:space="preserve"> do Poder Judiciário;</w:t>
      </w:r>
      <w:r w:rsidR="00153E27" w:rsidRPr="00425C6E">
        <w:rPr>
          <w:rFonts w:ascii="Times New Roman" w:hAnsi="Times New Roman" w:cs="Times New Roman"/>
          <w:sz w:val="24"/>
        </w:rPr>
        <w:t xml:space="preserve"> </w:t>
      </w:r>
    </w:p>
    <w:p w14:paraId="470AC1E5" w14:textId="77777777" w:rsidR="004A113A" w:rsidRPr="00425C6E" w:rsidRDefault="004A113A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14:paraId="40C69A3A" w14:textId="0B4CE178" w:rsidR="00C02EDD" w:rsidRPr="00425C6E" w:rsidRDefault="00C02EDD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CONSIDERANDO</w:t>
      </w:r>
      <w:r w:rsidRPr="00425C6E">
        <w:rPr>
          <w:rFonts w:ascii="Times New Roman" w:hAnsi="Times New Roman" w:cs="Times New Roman"/>
          <w:sz w:val="24"/>
        </w:rPr>
        <w:t xml:space="preserve"> a necessidade de assegurar a convergência dos recursos humanos, administrativos e financeiros empregados pelos segmentos do Poder Judiciário no que concerne à Tecnologia da Informação e Comunicação</w:t>
      </w:r>
      <w:r w:rsidR="00E3794A" w:rsidRPr="00425C6E">
        <w:rPr>
          <w:rFonts w:ascii="Times New Roman" w:hAnsi="Times New Roman" w:cs="Times New Roman"/>
          <w:sz w:val="24"/>
        </w:rPr>
        <w:t xml:space="preserve"> </w:t>
      </w:r>
      <w:r w:rsidR="00E046D2" w:rsidRPr="00425C6E">
        <w:rPr>
          <w:rFonts w:ascii="Times New Roman" w:hAnsi="Times New Roman" w:cs="Times New Roman"/>
          <w:sz w:val="24"/>
        </w:rPr>
        <w:t>(TIC)</w:t>
      </w:r>
      <w:r w:rsidR="002F5C29" w:rsidRPr="00425C6E">
        <w:rPr>
          <w:rFonts w:ascii="Times New Roman" w:hAnsi="Times New Roman" w:cs="Times New Roman"/>
          <w:sz w:val="24"/>
        </w:rPr>
        <w:t>;</w:t>
      </w:r>
    </w:p>
    <w:p w14:paraId="1E178707" w14:textId="77777777" w:rsidR="00F6763A" w:rsidRPr="00425C6E" w:rsidRDefault="00F6763A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</w:p>
    <w:p w14:paraId="33767C0E" w14:textId="14CC76D7" w:rsidR="00F6763A" w:rsidRPr="00425C6E" w:rsidRDefault="00C02EDD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CONSIDERANDO</w:t>
      </w:r>
      <w:r w:rsidRPr="00425C6E">
        <w:rPr>
          <w:rFonts w:ascii="Times New Roman" w:hAnsi="Times New Roman" w:cs="Times New Roman"/>
          <w:sz w:val="24"/>
        </w:rPr>
        <w:t xml:space="preserve"> a Lei </w:t>
      </w:r>
      <w:r w:rsidR="00044C6E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 xml:space="preserve">11.419, de 19 de dezembro de 2006, que dispõe sobre a informatização do processo </w:t>
      </w:r>
      <w:r w:rsidR="00885037" w:rsidRPr="00425C6E">
        <w:rPr>
          <w:rFonts w:ascii="Times New Roman" w:hAnsi="Times New Roman" w:cs="Times New Roman"/>
          <w:sz w:val="24"/>
        </w:rPr>
        <w:t>judicial,</w:t>
      </w:r>
      <w:r w:rsidRPr="00425C6E">
        <w:rPr>
          <w:rFonts w:ascii="Times New Roman" w:hAnsi="Times New Roman" w:cs="Times New Roman"/>
          <w:sz w:val="24"/>
        </w:rPr>
        <w:t xml:space="preserve"> bem como as Resoluções CNJ </w:t>
      </w:r>
      <w:r w:rsidR="0033308E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>91/</w:t>
      </w:r>
      <w:r w:rsidR="00885037" w:rsidRPr="00425C6E">
        <w:rPr>
          <w:rFonts w:ascii="Times New Roman" w:hAnsi="Times New Roman" w:cs="Times New Roman"/>
          <w:sz w:val="24"/>
        </w:rPr>
        <w:t>2009,</w:t>
      </w:r>
      <w:r w:rsidRPr="00425C6E">
        <w:rPr>
          <w:rFonts w:ascii="Times New Roman" w:hAnsi="Times New Roman" w:cs="Times New Roman"/>
          <w:sz w:val="24"/>
        </w:rPr>
        <w:t xml:space="preserve"> 121/201</w:t>
      </w:r>
      <w:r w:rsidR="00F37E8F" w:rsidRPr="00425C6E">
        <w:rPr>
          <w:rFonts w:ascii="Times New Roman" w:hAnsi="Times New Roman" w:cs="Times New Roman"/>
          <w:sz w:val="24"/>
        </w:rPr>
        <w:t>0</w:t>
      </w:r>
      <w:r w:rsidRPr="00425C6E">
        <w:rPr>
          <w:rFonts w:ascii="Times New Roman" w:hAnsi="Times New Roman" w:cs="Times New Roman"/>
          <w:sz w:val="24"/>
        </w:rPr>
        <w:t xml:space="preserve">, </w:t>
      </w:r>
      <w:r w:rsidR="00315FA8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>182/</w:t>
      </w:r>
      <w:r w:rsidR="00885037" w:rsidRPr="00425C6E">
        <w:rPr>
          <w:rFonts w:ascii="Times New Roman" w:hAnsi="Times New Roman" w:cs="Times New Roman"/>
          <w:sz w:val="24"/>
        </w:rPr>
        <w:t>2013,</w:t>
      </w:r>
      <w:r w:rsidRPr="00425C6E">
        <w:rPr>
          <w:rFonts w:ascii="Times New Roman" w:hAnsi="Times New Roman" w:cs="Times New Roman"/>
          <w:sz w:val="24"/>
        </w:rPr>
        <w:t xml:space="preserve"> </w:t>
      </w:r>
      <w:r w:rsidR="00315FA8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>185/</w:t>
      </w:r>
      <w:r w:rsidR="00885037" w:rsidRPr="00425C6E">
        <w:rPr>
          <w:rFonts w:ascii="Times New Roman" w:hAnsi="Times New Roman" w:cs="Times New Roman"/>
          <w:sz w:val="24"/>
        </w:rPr>
        <w:t>2013,</w:t>
      </w:r>
      <w:r w:rsidRPr="00425C6E">
        <w:rPr>
          <w:rFonts w:ascii="Times New Roman" w:hAnsi="Times New Roman" w:cs="Times New Roman"/>
          <w:sz w:val="24"/>
        </w:rPr>
        <w:t xml:space="preserve"> </w:t>
      </w:r>
      <w:r w:rsidR="00315FA8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 xml:space="preserve">192/2014, </w:t>
      </w:r>
      <w:r w:rsidR="00315FA8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 xml:space="preserve">194/2014 e </w:t>
      </w:r>
      <w:r w:rsidR="00315FA8" w:rsidRPr="00425C6E">
        <w:rPr>
          <w:rFonts w:ascii="Times New Roman" w:hAnsi="Times New Roman" w:cs="Times New Roman"/>
          <w:sz w:val="24"/>
        </w:rPr>
        <w:t xml:space="preserve">nº </w:t>
      </w:r>
      <w:r w:rsidRPr="00425C6E">
        <w:rPr>
          <w:rFonts w:ascii="Times New Roman" w:hAnsi="Times New Roman" w:cs="Times New Roman"/>
          <w:sz w:val="24"/>
        </w:rPr>
        <w:t>198/2014</w:t>
      </w:r>
      <w:r w:rsidR="00864798" w:rsidRPr="00425C6E">
        <w:rPr>
          <w:rFonts w:ascii="Times New Roman" w:hAnsi="Times New Roman" w:cs="Times New Roman"/>
          <w:sz w:val="24"/>
        </w:rPr>
        <w:t xml:space="preserve"> e o </w:t>
      </w:r>
      <w:r w:rsidR="00436860" w:rsidRPr="00425C6E">
        <w:rPr>
          <w:rFonts w:ascii="Times New Roman" w:hAnsi="Times New Roman" w:cs="Times New Roman"/>
          <w:sz w:val="24"/>
        </w:rPr>
        <w:t>D</w:t>
      </w:r>
      <w:r w:rsidR="00864798" w:rsidRPr="00425C6E">
        <w:rPr>
          <w:rFonts w:ascii="Times New Roman" w:hAnsi="Times New Roman" w:cs="Times New Roman"/>
          <w:sz w:val="24"/>
        </w:rPr>
        <w:t xml:space="preserve">ecreto </w:t>
      </w:r>
      <w:r w:rsidR="00436860" w:rsidRPr="00425C6E">
        <w:rPr>
          <w:rFonts w:ascii="Times New Roman" w:hAnsi="Times New Roman" w:cs="Times New Roman"/>
          <w:sz w:val="24"/>
        </w:rPr>
        <w:t>n</w:t>
      </w:r>
      <w:r w:rsidR="00864798" w:rsidRPr="00425C6E">
        <w:rPr>
          <w:rFonts w:ascii="Times New Roman" w:hAnsi="Times New Roman" w:cs="Times New Roman"/>
          <w:sz w:val="24"/>
        </w:rPr>
        <w:t>º 10.332 de 28 de abril de 2020</w:t>
      </w:r>
      <w:r w:rsidR="00756086" w:rsidRPr="00425C6E">
        <w:rPr>
          <w:rFonts w:ascii="Times New Roman" w:hAnsi="Times New Roman" w:cs="Times New Roman"/>
          <w:sz w:val="24"/>
        </w:rPr>
        <w:t>;</w:t>
      </w:r>
    </w:p>
    <w:p w14:paraId="26EC613E" w14:textId="77777777" w:rsidR="00233411" w:rsidRPr="00425C6E" w:rsidRDefault="00233411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</w:p>
    <w:p w14:paraId="6381FF86" w14:textId="4BE0D2D6" w:rsidR="00C02EDD" w:rsidRPr="00425C6E" w:rsidRDefault="00C02EDD" w:rsidP="37876B68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425C6E">
        <w:rPr>
          <w:rFonts w:ascii="Times New Roman" w:hAnsi="Times New Roman" w:cs="Times New Roman"/>
          <w:sz w:val="24"/>
          <w:szCs w:val="24"/>
        </w:rPr>
        <w:t xml:space="preserve"> a edição dos Acórdãos</w:t>
      </w:r>
      <w:r w:rsidR="00436860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CB2CC6" w:rsidRPr="00425C6E">
        <w:rPr>
          <w:rFonts w:ascii="Times New Roman" w:hAnsi="Times New Roman" w:cs="Times New Roman"/>
          <w:sz w:val="24"/>
          <w:szCs w:val="24"/>
        </w:rPr>
        <w:t>nº</w:t>
      </w:r>
      <w:r w:rsidRPr="00425C6E">
        <w:rPr>
          <w:rFonts w:ascii="Times New Roman" w:hAnsi="Times New Roman" w:cs="Times New Roman"/>
          <w:sz w:val="24"/>
          <w:szCs w:val="24"/>
        </w:rPr>
        <w:t xml:space="preserve"> 1603/2008, 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nº </w:t>
      </w:r>
      <w:r w:rsidR="002C180D" w:rsidRPr="00425C6E">
        <w:rPr>
          <w:rFonts w:ascii="Times New Roman" w:hAnsi="Times New Roman" w:cs="Times New Roman"/>
          <w:sz w:val="24"/>
          <w:szCs w:val="24"/>
        </w:rPr>
        <w:t xml:space="preserve">2.471/2008,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Pr="00425C6E">
        <w:rPr>
          <w:rFonts w:ascii="Times New Roman" w:hAnsi="Times New Roman" w:cs="Times New Roman"/>
          <w:sz w:val="24"/>
          <w:szCs w:val="24"/>
        </w:rPr>
        <w:t>2308/201</w:t>
      </w:r>
      <w:r w:rsidR="00D207E0" w:rsidRPr="00425C6E">
        <w:rPr>
          <w:rFonts w:ascii="Times New Roman" w:hAnsi="Times New Roman" w:cs="Times New Roman"/>
          <w:sz w:val="24"/>
          <w:szCs w:val="24"/>
        </w:rPr>
        <w:t>0</w:t>
      </w:r>
      <w:r w:rsidRPr="00425C6E">
        <w:rPr>
          <w:rFonts w:ascii="Times New Roman" w:hAnsi="Times New Roman" w:cs="Times New Roman"/>
          <w:sz w:val="24"/>
          <w:szCs w:val="24"/>
        </w:rPr>
        <w:t xml:space="preserve">,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Pr="00425C6E">
        <w:rPr>
          <w:rFonts w:ascii="Times New Roman" w:hAnsi="Times New Roman" w:cs="Times New Roman"/>
          <w:sz w:val="24"/>
          <w:szCs w:val="24"/>
        </w:rPr>
        <w:t xml:space="preserve">2585/2012,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Pr="00425C6E">
        <w:rPr>
          <w:rFonts w:ascii="Times New Roman" w:hAnsi="Times New Roman" w:cs="Times New Roman"/>
          <w:sz w:val="24"/>
          <w:szCs w:val="24"/>
        </w:rPr>
        <w:t>1200/2014</w:t>
      </w:r>
      <w:r w:rsidR="18DFBACD" w:rsidRPr="00425C6E">
        <w:rPr>
          <w:rFonts w:ascii="Times New Roman" w:hAnsi="Times New Roman" w:cs="Times New Roman"/>
          <w:sz w:val="24"/>
          <w:szCs w:val="24"/>
        </w:rPr>
        <w:t>,</w:t>
      </w:r>
      <w:r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Pr="00425C6E">
        <w:rPr>
          <w:rFonts w:ascii="Times New Roman" w:hAnsi="Times New Roman" w:cs="Times New Roman"/>
          <w:sz w:val="24"/>
          <w:szCs w:val="24"/>
        </w:rPr>
        <w:t>3051/2015,</w:t>
      </w:r>
      <w:r w:rsidR="001B578C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1B578C" w:rsidRPr="00425C6E">
        <w:rPr>
          <w:rFonts w:ascii="Times New Roman" w:hAnsi="Times New Roman" w:cs="Times New Roman"/>
          <w:sz w:val="24"/>
          <w:szCs w:val="24"/>
        </w:rPr>
        <w:t xml:space="preserve">588/2018, </w:t>
      </w:r>
      <w:r w:rsidR="00CB2CC6" w:rsidRPr="00425C6E">
        <w:rPr>
          <w:rFonts w:ascii="Times New Roman" w:hAnsi="Times New Roman" w:cs="Times New Roman"/>
          <w:sz w:val="24"/>
        </w:rPr>
        <w:t>nº</w:t>
      </w:r>
      <w:r w:rsidR="00CB2CC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1B578C" w:rsidRPr="00425C6E">
        <w:rPr>
          <w:rFonts w:ascii="Times New Roman" w:hAnsi="Times New Roman" w:cs="Times New Roman"/>
          <w:sz w:val="24"/>
          <w:szCs w:val="24"/>
        </w:rPr>
        <w:t xml:space="preserve">1534/2019, </w:t>
      </w:r>
      <w:r w:rsidRPr="00425C6E">
        <w:rPr>
          <w:rFonts w:ascii="Times New Roman" w:hAnsi="Times New Roman" w:cs="Times New Roman"/>
          <w:sz w:val="24"/>
          <w:szCs w:val="24"/>
        </w:rPr>
        <w:t>todos do Plenário do Tribunal de Contas da União</w:t>
      </w:r>
      <w:r w:rsidR="00E046D2" w:rsidRPr="00425C6E">
        <w:rPr>
          <w:rFonts w:ascii="Times New Roman" w:hAnsi="Times New Roman" w:cs="Times New Roman"/>
          <w:sz w:val="24"/>
          <w:szCs w:val="24"/>
        </w:rPr>
        <w:t xml:space="preserve"> (TCU)</w:t>
      </w:r>
      <w:r w:rsidRPr="00425C6E">
        <w:rPr>
          <w:rFonts w:ascii="Times New Roman" w:hAnsi="Times New Roman" w:cs="Times New Roman"/>
          <w:sz w:val="24"/>
          <w:szCs w:val="24"/>
        </w:rPr>
        <w:t xml:space="preserve">, que recomendam ao </w:t>
      </w:r>
      <w:r w:rsidR="001534BB" w:rsidRPr="00425C6E">
        <w:rPr>
          <w:rFonts w:ascii="Times New Roman" w:hAnsi="Times New Roman" w:cs="Times New Roman"/>
          <w:sz w:val="24"/>
          <w:szCs w:val="24"/>
        </w:rPr>
        <w:t>Conselho Nacional de Justiça (</w:t>
      </w:r>
      <w:r w:rsidRPr="00425C6E">
        <w:rPr>
          <w:rFonts w:ascii="Times New Roman" w:hAnsi="Times New Roman" w:cs="Times New Roman"/>
          <w:sz w:val="24"/>
          <w:szCs w:val="24"/>
        </w:rPr>
        <w:t>CNJ</w:t>
      </w:r>
      <w:r w:rsidR="001534BB" w:rsidRPr="00425C6E">
        <w:rPr>
          <w:rFonts w:ascii="Times New Roman" w:hAnsi="Times New Roman" w:cs="Times New Roman"/>
          <w:sz w:val="24"/>
          <w:szCs w:val="24"/>
        </w:rPr>
        <w:t>)</w:t>
      </w:r>
      <w:r w:rsidRPr="00425C6E">
        <w:rPr>
          <w:rFonts w:ascii="Times New Roman" w:hAnsi="Times New Roman" w:cs="Times New Roman"/>
          <w:sz w:val="24"/>
          <w:szCs w:val="24"/>
        </w:rPr>
        <w:t xml:space="preserve"> a promoção de ações voltadas para a normatização e o aperfeiçoamento dos controles e processos de governança, de gestão e de uso de TIC, inclusive com o estabelecimento de estratégias que </w:t>
      </w:r>
      <w:r w:rsidR="00453B80" w:rsidRPr="00425C6E">
        <w:rPr>
          <w:rFonts w:ascii="Times New Roman" w:hAnsi="Times New Roman" w:cs="Times New Roman"/>
          <w:sz w:val="24"/>
          <w:szCs w:val="24"/>
        </w:rPr>
        <w:t>minimize</w:t>
      </w:r>
      <w:r w:rsidR="00E3794A" w:rsidRPr="00425C6E">
        <w:rPr>
          <w:rFonts w:ascii="Times New Roman" w:hAnsi="Times New Roman" w:cs="Times New Roman"/>
          <w:sz w:val="24"/>
          <w:szCs w:val="24"/>
        </w:rPr>
        <w:t>m</w:t>
      </w:r>
      <w:r w:rsidRPr="00425C6E">
        <w:rPr>
          <w:rFonts w:ascii="Times New Roman" w:hAnsi="Times New Roman" w:cs="Times New Roman"/>
          <w:sz w:val="24"/>
          <w:szCs w:val="24"/>
        </w:rPr>
        <w:t xml:space="preserve"> a rotatividade do pessoal efetivo, de modo a assegurar a entrega de resultados efetivos para</w:t>
      </w:r>
      <w:r w:rsidR="00F6763A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Pr="00425C6E">
        <w:rPr>
          <w:rFonts w:ascii="Times New Roman" w:hAnsi="Times New Roman" w:cs="Times New Roman"/>
          <w:sz w:val="24"/>
          <w:szCs w:val="24"/>
        </w:rPr>
        <w:t>o Judiciário;</w:t>
      </w:r>
    </w:p>
    <w:p w14:paraId="7AE7758C" w14:textId="77777777" w:rsidR="001B578C" w:rsidRPr="00425C6E" w:rsidRDefault="001B578C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</w:p>
    <w:p w14:paraId="0D349ABD" w14:textId="0A68EC06" w:rsidR="00C02EDD" w:rsidRPr="00425C6E" w:rsidRDefault="00C02EDD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CONSIDERANDO</w:t>
      </w:r>
      <w:r w:rsidRPr="00425C6E">
        <w:rPr>
          <w:rFonts w:ascii="Times New Roman" w:hAnsi="Times New Roman" w:cs="Times New Roman"/>
          <w:sz w:val="24"/>
        </w:rPr>
        <w:t xml:space="preserve"> a decisão plenária tomada no julgamento do Ato Normativo </w:t>
      </w:r>
      <w:proofErr w:type="spellStart"/>
      <w:r w:rsidR="00D30BAF" w:rsidRPr="00425C6E">
        <w:rPr>
          <w:rFonts w:ascii="Times New Roman" w:hAnsi="Times New Roman" w:cs="Times New Roman"/>
          <w:sz w:val="24"/>
        </w:rPr>
        <w:t>xxxxxxx-xx.xxxx.x.xx</w:t>
      </w:r>
      <w:proofErr w:type="spellEnd"/>
      <w:r w:rsidR="00241903" w:rsidRPr="00425C6E">
        <w:rPr>
          <w:rFonts w:ascii="Times New Roman" w:hAnsi="Times New Roman" w:cs="Times New Roman"/>
          <w:sz w:val="24"/>
        </w:rPr>
        <w:t xml:space="preserve"> </w:t>
      </w:r>
      <w:r w:rsidRPr="00425C6E">
        <w:rPr>
          <w:rFonts w:ascii="Times New Roman" w:hAnsi="Times New Roman" w:cs="Times New Roman"/>
          <w:sz w:val="24"/>
        </w:rPr>
        <w:t xml:space="preserve">na </w:t>
      </w:r>
      <w:proofErr w:type="spellStart"/>
      <w:r w:rsidR="00241903" w:rsidRPr="00425C6E">
        <w:rPr>
          <w:rFonts w:ascii="Times New Roman" w:hAnsi="Times New Roman" w:cs="Times New Roman"/>
          <w:sz w:val="24"/>
        </w:rPr>
        <w:t>xx</w:t>
      </w:r>
      <w:r w:rsidRPr="00425C6E">
        <w:rPr>
          <w:rFonts w:ascii="Times New Roman" w:hAnsi="Times New Roman" w:cs="Times New Roman"/>
          <w:sz w:val="24"/>
        </w:rPr>
        <w:t>ª</w:t>
      </w:r>
      <w:proofErr w:type="spellEnd"/>
      <w:r w:rsidRPr="00425C6E">
        <w:rPr>
          <w:rFonts w:ascii="Times New Roman" w:hAnsi="Times New Roman" w:cs="Times New Roman"/>
          <w:sz w:val="24"/>
        </w:rPr>
        <w:t xml:space="preserve"> Sessão </w:t>
      </w:r>
      <w:r w:rsidR="00F6763A" w:rsidRPr="00425C6E">
        <w:rPr>
          <w:rFonts w:ascii="Times New Roman" w:hAnsi="Times New Roman" w:cs="Times New Roman"/>
          <w:sz w:val="24"/>
        </w:rPr>
        <w:t>Ordinária,</w:t>
      </w:r>
      <w:r w:rsidRPr="00425C6E">
        <w:rPr>
          <w:rFonts w:ascii="Times New Roman" w:hAnsi="Times New Roman" w:cs="Times New Roman"/>
          <w:sz w:val="24"/>
        </w:rPr>
        <w:t xml:space="preserve"> realizada em </w:t>
      </w:r>
      <w:r w:rsidR="00241903" w:rsidRPr="00425C6E">
        <w:rPr>
          <w:rFonts w:ascii="Times New Roman" w:hAnsi="Times New Roman" w:cs="Times New Roman"/>
          <w:sz w:val="24"/>
        </w:rPr>
        <w:t>xx</w:t>
      </w:r>
      <w:r w:rsidRPr="00425C6E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41903" w:rsidRPr="00425C6E">
        <w:rPr>
          <w:rFonts w:ascii="Times New Roman" w:hAnsi="Times New Roman" w:cs="Times New Roman"/>
          <w:sz w:val="24"/>
        </w:rPr>
        <w:t>xxxxxxxx</w:t>
      </w:r>
      <w:proofErr w:type="spellEnd"/>
      <w:r w:rsidRPr="00425C6E">
        <w:rPr>
          <w:rFonts w:ascii="Times New Roman" w:hAnsi="Times New Roman" w:cs="Times New Roman"/>
          <w:sz w:val="24"/>
        </w:rPr>
        <w:t xml:space="preserve"> de </w:t>
      </w:r>
      <w:r w:rsidR="00241903" w:rsidRPr="00425C6E">
        <w:rPr>
          <w:rFonts w:ascii="Times New Roman" w:hAnsi="Times New Roman" w:cs="Times New Roman"/>
          <w:sz w:val="24"/>
        </w:rPr>
        <w:t>2020</w:t>
      </w:r>
      <w:r w:rsidR="00F6763A" w:rsidRPr="00425C6E">
        <w:rPr>
          <w:rFonts w:ascii="Times New Roman" w:hAnsi="Times New Roman" w:cs="Times New Roman"/>
          <w:sz w:val="24"/>
        </w:rPr>
        <w:t>;</w:t>
      </w:r>
    </w:p>
    <w:p w14:paraId="4825CEFF" w14:textId="77777777" w:rsidR="0019570C" w:rsidRPr="00425C6E" w:rsidRDefault="0019570C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</w:p>
    <w:p w14:paraId="2A99DFDA" w14:textId="7BBACBB5" w:rsidR="00C02EDD" w:rsidRPr="00425C6E" w:rsidRDefault="00C02EDD" w:rsidP="00C02EDD">
      <w:pPr>
        <w:spacing w:before="12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RESOLVE</w:t>
      </w:r>
      <w:r w:rsidRPr="00425C6E">
        <w:rPr>
          <w:rFonts w:ascii="Times New Roman" w:hAnsi="Times New Roman" w:cs="Times New Roman"/>
          <w:sz w:val="24"/>
        </w:rPr>
        <w:t>:</w:t>
      </w:r>
    </w:p>
    <w:p w14:paraId="2B9490B8" w14:textId="77777777" w:rsidR="00AB7DA7" w:rsidRPr="00425C6E" w:rsidRDefault="00AB7DA7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286C7EC7" w14:textId="296BE748" w:rsidR="00F6763A" w:rsidRPr="00425C6E" w:rsidRDefault="00A6294C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F6763A" w:rsidRPr="00425C6E">
        <w:rPr>
          <w:rFonts w:ascii="Times New Roman" w:hAnsi="Times New Roman" w:cs="Times New Roman"/>
          <w:b/>
          <w:bCs/>
          <w:sz w:val="24"/>
        </w:rPr>
        <w:t>I</w:t>
      </w:r>
    </w:p>
    <w:p w14:paraId="654860F9" w14:textId="29FC4847" w:rsidR="00C02EDD" w:rsidRPr="00425C6E" w:rsidRDefault="00A6294C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Disposições Preliminares</w:t>
      </w:r>
    </w:p>
    <w:p w14:paraId="06D36DE9" w14:textId="3269DDA7" w:rsidR="00E3794A" w:rsidRPr="00425C6E" w:rsidRDefault="00E3794A" w:rsidP="00E3794A">
      <w:pPr>
        <w:spacing w:before="120"/>
        <w:rPr>
          <w:rFonts w:ascii="Times New Roman" w:hAnsi="Times New Roman" w:cs="Times New Roman"/>
          <w:b/>
          <w:bCs/>
          <w:sz w:val="24"/>
        </w:rPr>
      </w:pPr>
    </w:p>
    <w:p w14:paraId="013581E9" w14:textId="47ED4368" w:rsidR="00F819CF" w:rsidRPr="00425C6E" w:rsidRDefault="00C02EDD" w:rsidP="004D53D4">
      <w:pPr>
        <w:pStyle w:val="Numeraoartigo"/>
        <w:tabs>
          <w:tab w:val="left" w:pos="1985"/>
        </w:tabs>
        <w:ind w:left="0" w:firstLine="1134"/>
        <w:rPr>
          <w:rFonts w:eastAsiaTheme="minorEastAsia" w:cs="Times New Roman"/>
          <w:szCs w:val="24"/>
        </w:rPr>
      </w:pPr>
      <w:r w:rsidRPr="00425C6E">
        <w:rPr>
          <w:rFonts w:cs="Times New Roman"/>
        </w:rPr>
        <w:t xml:space="preserve">Fica instituída a Estratégia </w:t>
      </w:r>
      <w:r w:rsidR="004D53D4" w:rsidRPr="00425C6E">
        <w:rPr>
          <w:rFonts w:cs="Times New Roman"/>
        </w:rPr>
        <w:t xml:space="preserve">Nacional de Tecnologia da Informação e Comunicação do Poder Judiciário </w:t>
      </w:r>
      <w:r w:rsidRPr="00425C6E">
        <w:rPr>
          <w:rFonts w:cs="Times New Roman"/>
        </w:rPr>
        <w:t xml:space="preserve">(ENTIC-JUD) para o </w:t>
      </w:r>
      <w:proofErr w:type="spellStart"/>
      <w:r w:rsidRPr="00425C6E">
        <w:rPr>
          <w:rFonts w:cs="Times New Roman"/>
        </w:rPr>
        <w:t>sexênio</w:t>
      </w:r>
      <w:proofErr w:type="spellEnd"/>
      <w:r w:rsidRPr="00425C6E">
        <w:rPr>
          <w:rFonts w:cs="Times New Roman"/>
        </w:rPr>
        <w:t xml:space="preserve"> </w:t>
      </w:r>
      <w:r w:rsidR="00921E02" w:rsidRPr="00425C6E">
        <w:rPr>
          <w:rFonts w:cs="Times New Roman"/>
        </w:rPr>
        <w:t>2021</w:t>
      </w:r>
      <w:r w:rsidRPr="00425C6E">
        <w:rPr>
          <w:rFonts w:cs="Times New Roman"/>
        </w:rPr>
        <w:t>-202</w:t>
      </w:r>
      <w:r w:rsidR="00921E02" w:rsidRPr="00425C6E">
        <w:rPr>
          <w:rFonts w:cs="Times New Roman"/>
        </w:rPr>
        <w:t>6</w:t>
      </w:r>
      <w:r w:rsidRPr="00425C6E">
        <w:rPr>
          <w:rFonts w:cs="Times New Roman"/>
        </w:rPr>
        <w:t xml:space="preserve">, em harmonia com os </w:t>
      </w:r>
      <w:proofErr w:type="spellStart"/>
      <w:r w:rsidRPr="00425C6E">
        <w:rPr>
          <w:rFonts w:cs="Times New Roman"/>
        </w:rPr>
        <w:t>macrodesafios</w:t>
      </w:r>
      <w:proofErr w:type="spellEnd"/>
      <w:r w:rsidRPr="00425C6E">
        <w:rPr>
          <w:rFonts w:cs="Times New Roman"/>
        </w:rPr>
        <w:t xml:space="preserve"> do Poder Judiciário, em especial </w:t>
      </w:r>
      <w:r w:rsidR="00AE4C29" w:rsidRPr="00425C6E">
        <w:rPr>
          <w:rFonts w:cs="Times New Roman"/>
        </w:rPr>
        <w:t xml:space="preserve">com o </w:t>
      </w:r>
      <w:r w:rsidRPr="00425C6E">
        <w:rPr>
          <w:rFonts w:cs="Times New Roman"/>
        </w:rPr>
        <w:t xml:space="preserve">que estabelece </w:t>
      </w:r>
      <w:r w:rsidR="0019214F" w:rsidRPr="00425C6E">
        <w:rPr>
          <w:rFonts w:cs="Times New Roman"/>
        </w:rPr>
        <w:t>o</w:t>
      </w:r>
      <w:r w:rsidR="005D45B2" w:rsidRPr="00425C6E">
        <w:rPr>
          <w:rFonts w:cs="Times New Roman"/>
        </w:rPr>
        <w:t xml:space="preserve"> </w:t>
      </w:r>
      <w:r w:rsidR="0019214F" w:rsidRPr="00425C6E">
        <w:rPr>
          <w:rFonts w:cs="Times New Roman"/>
        </w:rPr>
        <w:t xml:space="preserve">Fortalecimento da Estratégia Nacional de TIC e </w:t>
      </w:r>
      <w:r w:rsidR="00F819CF" w:rsidRPr="00425C6E">
        <w:rPr>
          <w:rFonts w:cs="Times New Roman"/>
        </w:rPr>
        <w:t xml:space="preserve">a </w:t>
      </w:r>
      <w:r w:rsidR="0019214F" w:rsidRPr="00425C6E">
        <w:rPr>
          <w:rFonts w:cs="Times New Roman"/>
        </w:rPr>
        <w:t>Proteção de Dado</w:t>
      </w:r>
      <w:r w:rsidR="00F37E8F" w:rsidRPr="00425C6E">
        <w:rPr>
          <w:rFonts w:cs="Times New Roman"/>
        </w:rPr>
        <w:t>s</w:t>
      </w:r>
      <w:r w:rsidR="41286C84" w:rsidRPr="00425C6E">
        <w:rPr>
          <w:rFonts w:cs="Times New Roman"/>
        </w:rPr>
        <w:t>.</w:t>
      </w:r>
    </w:p>
    <w:p w14:paraId="28DE8985" w14:textId="3CCC0E7B" w:rsidR="00F819CF" w:rsidRPr="00425C6E" w:rsidRDefault="275DA976" w:rsidP="551EC7B9">
      <w:pPr>
        <w:pStyle w:val="Numeraoartigo"/>
        <w:numPr>
          <w:ilvl w:val="0"/>
          <w:numId w:val="0"/>
        </w:numPr>
        <w:tabs>
          <w:tab w:val="left" w:pos="1985"/>
        </w:tabs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</w:t>
      </w:r>
      <w:r w:rsidR="00AB58B0" w:rsidRPr="00425C6E">
        <w:rPr>
          <w:rFonts w:cs="Times New Roman"/>
        </w:rPr>
        <w:t>ú</w:t>
      </w:r>
      <w:r w:rsidRPr="00425C6E">
        <w:rPr>
          <w:rFonts w:cs="Times New Roman"/>
        </w:rPr>
        <w:t>nico: O</w:t>
      </w:r>
      <w:r w:rsidR="369C7A5A" w:rsidRPr="00425C6E">
        <w:rPr>
          <w:rFonts w:cs="Times New Roman"/>
        </w:rPr>
        <w:t xml:space="preserve"> objetivo </w:t>
      </w:r>
      <w:r w:rsidR="0973F1C1" w:rsidRPr="00425C6E">
        <w:rPr>
          <w:rFonts w:cs="Times New Roman"/>
        </w:rPr>
        <w:t xml:space="preserve">da </w:t>
      </w:r>
      <w:r w:rsidR="004D53D4" w:rsidRPr="00425C6E">
        <w:rPr>
          <w:rFonts w:cs="Times New Roman"/>
        </w:rPr>
        <w:t xml:space="preserve">Estratégia Nacional de Tecnologia da Informação e Comunicação do Poder Judiciário </w:t>
      </w:r>
      <w:r w:rsidR="009379A6" w:rsidRPr="00425C6E">
        <w:rPr>
          <w:rFonts w:cs="Times New Roman"/>
        </w:rPr>
        <w:t>(</w:t>
      </w:r>
      <w:r w:rsidR="0973F1C1" w:rsidRPr="00425C6E">
        <w:rPr>
          <w:rFonts w:cs="Times New Roman"/>
        </w:rPr>
        <w:t>ENTIC-JUD</w:t>
      </w:r>
      <w:r w:rsidR="009379A6" w:rsidRPr="00425C6E">
        <w:rPr>
          <w:rFonts w:cs="Times New Roman"/>
        </w:rPr>
        <w:t>)</w:t>
      </w:r>
      <w:r w:rsidR="0973F1C1" w:rsidRPr="00425C6E">
        <w:rPr>
          <w:rFonts w:cs="Times New Roman"/>
        </w:rPr>
        <w:t xml:space="preserve"> </w:t>
      </w:r>
      <w:r w:rsidR="369C7A5A" w:rsidRPr="00425C6E">
        <w:rPr>
          <w:rFonts w:cs="Times New Roman"/>
        </w:rPr>
        <w:t>é</w:t>
      </w:r>
      <w:r w:rsidR="3C4432B8" w:rsidRPr="00425C6E">
        <w:rPr>
          <w:rFonts w:cs="Times New Roman"/>
        </w:rPr>
        <w:t xml:space="preserve"> </w:t>
      </w:r>
      <w:r w:rsidR="0680EDBA" w:rsidRPr="00425C6E">
        <w:rPr>
          <w:rFonts w:cs="Times New Roman"/>
        </w:rPr>
        <w:t>constituir o principal</w:t>
      </w:r>
      <w:r w:rsidR="1E9915BF" w:rsidRPr="00425C6E">
        <w:rPr>
          <w:rFonts w:cs="Times New Roman"/>
        </w:rPr>
        <w:t xml:space="preserve"> </w:t>
      </w:r>
      <w:r w:rsidR="3C4432B8" w:rsidRPr="00425C6E">
        <w:rPr>
          <w:rFonts w:cs="Times New Roman"/>
        </w:rPr>
        <w:t xml:space="preserve">instrumento de promoção da governança ágil e da transformação digital </w:t>
      </w:r>
      <w:r w:rsidR="7E2A9347" w:rsidRPr="00425C6E">
        <w:rPr>
          <w:rFonts w:cs="Times New Roman"/>
        </w:rPr>
        <w:t>do Poder J</w:t>
      </w:r>
      <w:r w:rsidR="34664A92" w:rsidRPr="00425C6E">
        <w:rPr>
          <w:rFonts w:cs="Times New Roman"/>
        </w:rPr>
        <w:t>udiciário</w:t>
      </w:r>
      <w:r w:rsidR="7E2A9347" w:rsidRPr="00425C6E">
        <w:rPr>
          <w:rFonts w:cs="Times New Roman"/>
        </w:rPr>
        <w:t xml:space="preserve"> </w:t>
      </w:r>
      <w:r w:rsidR="3C4432B8" w:rsidRPr="00425C6E">
        <w:rPr>
          <w:rFonts w:cs="Times New Roman"/>
        </w:rPr>
        <w:t xml:space="preserve">por </w:t>
      </w:r>
      <w:r w:rsidR="0198EAFA" w:rsidRPr="00425C6E">
        <w:rPr>
          <w:rFonts w:cs="Times New Roman"/>
        </w:rPr>
        <w:t>meio de</w:t>
      </w:r>
      <w:r w:rsidR="2D701C1A" w:rsidRPr="00425C6E">
        <w:rPr>
          <w:rFonts w:cs="Times New Roman"/>
        </w:rPr>
        <w:t xml:space="preserve"> </w:t>
      </w:r>
      <w:r w:rsidR="3C4432B8" w:rsidRPr="00425C6E">
        <w:rPr>
          <w:rFonts w:cs="Times New Roman"/>
        </w:rPr>
        <w:t>serviços</w:t>
      </w:r>
      <w:r w:rsidR="26428E91" w:rsidRPr="00425C6E">
        <w:rPr>
          <w:rFonts w:cs="Times New Roman"/>
        </w:rPr>
        <w:t xml:space="preserve"> </w:t>
      </w:r>
      <w:r w:rsidR="3E8654D7" w:rsidRPr="00425C6E">
        <w:rPr>
          <w:rFonts w:cs="Times New Roman"/>
        </w:rPr>
        <w:t xml:space="preserve">e soluções </w:t>
      </w:r>
      <w:r w:rsidR="3C4432B8" w:rsidRPr="00425C6E">
        <w:rPr>
          <w:rFonts w:cs="Times New Roman"/>
        </w:rPr>
        <w:t>digitais</w:t>
      </w:r>
      <w:r w:rsidR="4FB2F4CA" w:rsidRPr="00425C6E">
        <w:rPr>
          <w:rFonts w:cs="Times New Roman"/>
        </w:rPr>
        <w:t xml:space="preserve"> </w:t>
      </w:r>
      <w:r w:rsidR="38BFC071" w:rsidRPr="00425C6E">
        <w:rPr>
          <w:rFonts w:cs="Times New Roman"/>
        </w:rPr>
        <w:t>i</w:t>
      </w:r>
      <w:r w:rsidR="4FB2F4CA" w:rsidRPr="00425C6E">
        <w:rPr>
          <w:rFonts w:cs="Times New Roman"/>
        </w:rPr>
        <w:t>no</w:t>
      </w:r>
      <w:r w:rsidR="51CC6B62" w:rsidRPr="00425C6E">
        <w:rPr>
          <w:rFonts w:cs="Times New Roman"/>
        </w:rPr>
        <w:t>v</w:t>
      </w:r>
      <w:r w:rsidR="4FB2F4CA" w:rsidRPr="00425C6E">
        <w:rPr>
          <w:rFonts w:cs="Times New Roman"/>
        </w:rPr>
        <w:t>adoras que impulsionem a evolução tecnológica do Poder Judiciário</w:t>
      </w:r>
      <w:r w:rsidR="6C8A65D5" w:rsidRPr="00425C6E">
        <w:rPr>
          <w:rFonts w:cs="Times New Roman"/>
        </w:rPr>
        <w:t>.</w:t>
      </w:r>
    </w:p>
    <w:p w14:paraId="0EFAAD3A" w14:textId="58E2BE0D" w:rsidR="00F819CF" w:rsidRPr="00425C6E" w:rsidRDefault="00C02EDD" w:rsidP="00F819CF">
      <w:pPr>
        <w:pStyle w:val="Numeraoartigo"/>
        <w:tabs>
          <w:tab w:val="left" w:pos="1985"/>
        </w:tabs>
        <w:ind w:left="0" w:firstLine="1134"/>
        <w:rPr>
          <w:rFonts w:cs="Times New Roman"/>
          <w:szCs w:val="24"/>
        </w:rPr>
      </w:pPr>
      <w:r w:rsidRPr="00425C6E">
        <w:rPr>
          <w:rFonts w:cs="Times New Roman"/>
        </w:rPr>
        <w:t xml:space="preserve">A </w:t>
      </w:r>
      <w:r w:rsidR="004D53D4" w:rsidRPr="00425C6E">
        <w:rPr>
          <w:rFonts w:cs="Times New Roman"/>
        </w:rPr>
        <w:t xml:space="preserve">Estratégia Nacional de Tecnologia da Informação e Comunicação do Poder Judiciário </w:t>
      </w:r>
      <w:r w:rsidR="009379A6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é </w:t>
      </w:r>
      <w:r w:rsidR="0070778A" w:rsidRPr="00425C6E">
        <w:rPr>
          <w:rFonts w:cs="Times New Roman"/>
        </w:rPr>
        <w:t>orientada em seu preâmbulo</w:t>
      </w:r>
      <w:r w:rsidR="002057F9" w:rsidRPr="00425C6E">
        <w:rPr>
          <w:rFonts w:cs="Times New Roman"/>
        </w:rPr>
        <w:t xml:space="preserve"> pelos objetivos </w:t>
      </w:r>
      <w:r w:rsidR="004C3BD5" w:rsidRPr="00425C6E">
        <w:rPr>
          <w:rFonts w:cs="Times New Roman"/>
        </w:rPr>
        <w:t xml:space="preserve">dos </w:t>
      </w:r>
      <w:r w:rsidR="002057F9" w:rsidRPr="00425C6E">
        <w:rPr>
          <w:rFonts w:cs="Times New Roman"/>
        </w:rPr>
        <w:t>seguintes</w:t>
      </w:r>
      <w:r w:rsidR="007711B3" w:rsidRPr="00425C6E">
        <w:rPr>
          <w:rFonts w:cs="Times New Roman"/>
        </w:rPr>
        <w:t xml:space="preserve"> componentes</w:t>
      </w:r>
      <w:r w:rsidR="002057F9" w:rsidRPr="00425C6E">
        <w:rPr>
          <w:rFonts w:cs="Times New Roman"/>
        </w:rPr>
        <w:t>:</w:t>
      </w:r>
      <w:r w:rsidR="0070778A" w:rsidRPr="00425C6E">
        <w:rPr>
          <w:rFonts w:cs="Times New Roman"/>
        </w:rPr>
        <w:t xml:space="preserve"> </w:t>
      </w:r>
    </w:p>
    <w:p w14:paraId="6ADDDF14" w14:textId="64C4729A" w:rsidR="00C02EDD" w:rsidRPr="00425C6E" w:rsidRDefault="00C02EDD" w:rsidP="007B1674">
      <w:pPr>
        <w:pStyle w:val="PargrafodaLista"/>
        <w:numPr>
          <w:ilvl w:val="0"/>
          <w:numId w:val="1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sz w:val="24"/>
          <w:szCs w:val="24"/>
        </w:rPr>
        <w:t xml:space="preserve">Objetivos estratégicos, distribuídos em </w:t>
      </w:r>
      <w:r w:rsidR="004E4324" w:rsidRPr="00425C6E">
        <w:rPr>
          <w:rFonts w:ascii="Times New Roman" w:hAnsi="Times New Roman" w:cs="Times New Roman"/>
          <w:sz w:val="24"/>
          <w:szCs w:val="24"/>
        </w:rPr>
        <w:t>0</w:t>
      </w:r>
      <w:r w:rsidRPr="00425C6E">
        <w:rPr>
          <w:rFonts w:ascii="Times New Roman" w:hAnsi="Times New Roman" w:cs="Times New Roman"/>
          <w:sz w:val="24"/>
          <w:szCs w:val="24"/>
        </w:rPr>
        <w:t>3 (três) perspectivas:</w:t>
      </w:r>
    </w:p>
    <w:p w14:paraId="348363AF" w14:textId="0DA1DF01" w:rsidR="00DE7616" w:rsidRPr="00425C6E" w:rsidRDefault="00E844BA" w:rsidP="007B167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Sociedade</w:t>
      </w:r>
      <w:r w:rsidR="004D53D4" w:rsidRPr="00425C6E">
        <w:rPr>
          <w:rFonts w:ascii="Times New Roman" w:hAnsi="Times New Roman" w:cs="Times New Roman"/>
          <w:sz w:val="24"/>
        </w:rPr>
        <w:t>:</w:t>
      </w:r>
    </w:p>
    <w:p w14:paraId="12152A98" w14:textId="00440696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1: Aumentar a </w:t>
      </w:r>
      <w:r w:rsidR="00C83C79" w:rsidRPr="00425C6E">
        <w:rPr>
          <w:rFonts w:ascii="Times New Roman" w:hAnsi="Times New Roman" w:cs="Times New Roman"/>
          <w:sz w:val="24"/>
        </w:rPr>
        <w:t xml:space="preserve">Satisfação </w:t>
      </w:r>
      <w:r w:rsidRPr="00425C6E">
        <w:rPr>
          <w:rFonts w:ascii="Times New Roman" w:hAnsi="Times New Roman" w:cs="Times New Roman"/>
          <w:sz w:val="24"/>
        </w:rPr>
        <w:t xml:space="preserve">dos </w:t>
      </w:r>
      <w:r w:rsidR="00C83C79" w:rsidRPr="00425C6E">
        <w:rPr>
          <w:rFonts w:ascii="Times New Roman" w:hAnsi="Times New Roman" w:cs="Times New Roman"/>
          <w:sz w:val="24"/>
        </w:rPr>
        <w:t xml:space="preserve">Usuários </w:t>
      </w:r>
      <w:r w:rsidRPr="00425C6E">
        <w:rPr>
          <w:rFonts w:ascii="Times New Roman" w:hAnsi="Times New Roman" w:cs="Times New Roman"/>
          <w:sz w:val="24"/>
        </w:rPr>
        <w:t xml:space="preserve">do </w:t>
      </w:r>
      <w:r w:rsidR="00A83B02" w:rsidRPr="00425C6E">
        <w:rPr>
          <w:rFonts w:ascii="Times New Roman" w:hAnsi="Times New Roman" w:cs="Times New Roman"/>
          <w:sz w:val="24"/>
        </w:rPr>
        <w:t>Sistema Judiciário</w:t>
      </w:r>
      <w:r w:rsidR="009E6672" w:rsidRPr="00425C6E">
        <w:rPr>
          <w:rFonts w:ascii="Times New Roman" w:hAnsi="Times New Roman" w:cs="Times New Roman"/>
          <w:sz w:val="24"/>
        </w:rPr>
        <w:t>;</w:t>
      </w:r>
    </w:p>
    <w:p w14:paraId="505A66D1" w14:textId="5A14C522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2: Promover </w:t>
      </w:r>
      <w:r w:rsidR="00AC0547" w:rsidRPr="00425C6E">
        <w:rPr>
          <w:rFonts w:ascii="Times New Roman" w:hAnsi="Times New Roman" w:cs="Times New Roman"/>
          <w:sz w:val="24"/>
        </w:rPr>
        <w:t xml:space="preserve">a </w:t>
      </w:r>
      <w:r w:rsidR="00C83C79" w:rsidRPr="00425C6E">
        <w:rPr>
          <w:rFonts w:ascii="Times New Roman" w:hAnsi="Times New Roman" w:cs="Times New Roman"/>
          <w:sz w:val="24"/>
        </w:rPr>
        <w:t>Transformação Digital</w:t>
      </w:r>
      <w:r w:rsidR="009E6672" w:rsidRPr="00425C6E">
        <w:rPr>
          <w:rFonts w:ascii="Times New Roman" w:hAnsi="Times New Roman" w:cs="Times New Roman"/>
          <w:sz w:val="24"/>
        </w:rPr>
        <w:t>;</w:t>
      </w:r>
    </w:p>
    <w:p w14:paraId="6CD7FDDE" w14:textId="14A9AB5C" w:rsidR="0002095A" w:rsidRPr="00425C6E" w:rsidRDefault="00E844BA" w:rsidP="007B167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Aprendizado e </w:t>
      </w:r>
      <w:r w:rsidR="00C83C79" w:rsidRPr="00425C6E">
        <w:rPr>
          <w:rFonts w:ascii="Times New Roman" w:hAnsi="Times New Roman" w:cs="Times New Roman"/>
          <w:sz w:val="24"/>
        </w:rPr>
        <w:t>Crescimento</w:t>
      </w:r>
      <w:r w:rsidR="00AC21F2" w:rsidRPr="00425C6E">
        <w:rPr>
          <w:rFonts w:ascii="Times New Roman" w:hAnsi="Times New Roman" w:cs="Times New Roman"/>
          <w:sz w:val="24"/>
        </w:rPr>
        <w:t>:</w:t>
      </w:r>
    </w:p>
    <w:p w14:paraId="282D6912" w14:textId="15204BE2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3: Reconhecer e </w:t>
      </w:r>
      <w:r w:rsidR="00C83C79" w:rsidRPr="00425C6E">
        <w:rPr>
          <w:rFonts w:ascii="Times New Roman" w:hAnsi="Times New Roman" w:cs="Times New Roman"/>
          <w:sz w:val="24"/>
        </w:rPr>
        <w:t xml:space="preserve">Desenvolver </w:t>
      </w:r>
      <w:r w:rsidRPr="00425C6E">
        <w:rPr>
          <w:rFonts w:ascii="Times New Roman" w:hAnsi="Times New Roman" w:cs="Times New Roman"/>
          <w:sz w:val="24"/>
        </w:rPr>
        <w:t xml:space="preserve">as </w:t>
      </w:r>
      <w:r w:rsidR="00C83C79" w:rsidRPr="00425C6E">
        <w:rPr>
          <w:rFonts w:ascii="Times New Roman" w:hAnsi="Times New Roman" w:cs="Times New Roman"/>
          <w:sz w:val="24"/>
        </w:rPr>
        <w:t xml:space="preserve">Competências </w:t>
      </w:r>
      <w:r w:rsidRPr="00425C6E">
        <w:rPr>
          <w:rFonts w:ascii="Times New Roman" w:hAnsi="Times New Roman" w:cs="Times New Roman"/>
          <w:sz w:val="24"/>
        </w:rPr>
        <w:t xml:space="preserve">dos </w:t>
      </w:r>
      <w:r w:rsidR="00C83C79" w:rsidRPr="00425C6E">
        <w:rPr>
          <w:rFonts w:ascii="Times New Roman" w:hAnsi="Times New Roman" w:cs="Times New Roman"/>
          <w:sz w:val="24"/>
        </w:rPr>
        <w:t>Colaboradores</w:t>
      </w:r>
      <w:r w:rsidR="00AC21F2" w:rsidRPr="00425C6E">
        <w:rPr>
          <w:rFonts w:ascii="Times New Roman" w:hAnsi="Times New Roman" w:cs="Times New Roman"/>
          <w:sz w:val="24"/>
        </w:rPr>
        <w:t>;</w:t>
      </w:r>
    </w:p>
    <w:p w14:paraId="2444B9FC" w14:textId="204D62BD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4: Buscar a </w:t>
      </w:r>
      <w:r w:rsidR="00C83C79" w:rsidRPr="00425C6E">
        <w:rPr>
          <w:rFonts w:ascii="Times New Roman" w:hAnsi="Times New Roman" w:cs="Times New Roman"/>
          <w:sz w:val="24"/>
        </w:rPr>
        <w:t xml:space="preserve">Inovação </w:t>
      </w:r>
      <w:r w:rsidRPr="00425C6E">
        <w:rPr>
          <w:rFonts w:ascii="Times New Roman" w:hAnsi="Times New Roman" w:cs="Times New Roman"/>
          <w:sz w:val="24"/>
        </w:rPr>
        <w:t xml:space="preserve">de </w:t>
      </w:r>
      <w:r w:rsidR="00C83C79" w:rsidRPr="00425C6E">
        <w:rPr>
          <w:rFonts w:ascii="Times New Roman" w:hAnsi="Times New Roman" w:cs="Times New Roman"/>
          <w:sz w:val="24"/>
        </w:rPr>
        <w:t>Forma Colaborativa</w:t>
      </w:r>
      <w:r w:rsidR="009E6672" w:rsidRPr="00425C6E">
        <w:rPr>
          <w:rFonts w:ascii="Times New Roman" w:hAnsi="Times New Roman" w:cs="Times New Roman"/>
          <w:sz w:val="24"/>
        </w:rPr>
        <w:t>;</w:t>
      </w:r>
    </w:p>
    <w:p w14:paraId="6248E38D" w14:textId="762ABB83" w:rsidR="00FC3966" w:rsidRPr="00425C6E" w:rsidRDefault="00E844BA" w:rsidP="007B167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Processos </w:t>
      </w:r>
      <w:r w:rsidR="00C83C79" w:rsidRPr="00425C6E">
        <w:rPr>
          <w:rFonts w:ascii="Times New Roman" w:hAnsi="Times New Roman" w:cs="Times New Roman"/>
          <w:sz w:val="24"/>
        </w:rPr>
        <w:t>Internos</w:t>
      </w:r>
      <w:r w:rsidR="00AC21F2" w:rsidRPr="00425C6E">
        <w:rPr>
          <w:rFonts w:ascii="Times New Roman" w:hAnsi="Times New Roman" w:cs="Times New Roman"/>
          <w:sz w:val="24"/>
        </w:rPr>
        <w:t>:</w:t>
      </w:r>
    </w:p>
    <w:p w14:paraId="2B358925" w14:textId="6E1C8F4E" w:rsidR="00E55406" w:rsidRPr="00425C6E" w:rsidRDefault="00E55406" w:rsidP="00E55406">
      <w:pPr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Objetivo 5: Aperfeiçoar a Governança e a Gestão;</w:t>
      </w:r>
    </w:p>
    <w:p w14:paraId="67916C7A" w14:textId="4198E5E7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</w:t>
      </w:r>
      <w:r w:rsidR="00E55406" w:rsidRPr="00425C6E">
        <w:rPr>
          <w:rFonts w:ascii="Times New Roman" w:hAnsi="Times New Roman" w:cs="Times New Roman"/>
          <w:sz w:val="24"/>
        </w:rPr>
        <w:t>6</w:t>
      </w:r>
      <w:r w:rsidRPr="00425C6E">
        <w:rPr>
          <w:rFonts w:ascii="Times New Roman" w:hAnsi="Times New Roman" w:cs="Times New Roman"/>
          <w:sz w:val="24"/>
        </w:rPr>
        <w:t xml:space="preserve">: </w:t>
      </w:r>
      <w:r w:rsidR="00E73A28" w:rsidRPr="00425C6E">
        <w:rPr>
          <w:rFonts w:ascii="Times New Roman" w:hAnsi="Times New Roman" w:cs="Times New Roman"/>
          <w:sz w:val="24"/>
        </w:rPr>
        <w:t xml:space="preserve">Aprimorar as </w:t>
      </w:r>
      <w:r w:rsidR="00C83C79" w:rsidRPr="00425C6E">
        <w:rPr>
          <w:rFonts w:ascii="Times New Roman" w:hAnsi="Times New Roman" w:cs="Times New Roman"/>
          <w:sz w:val="24"/>
        </w:rPr>
        <w:t xml:space="preserve">Aquisições </w:t>
      </w:r>
      <w:r w:rsidR="00E73A28" w:rsidRPr="00425C6E">
        <w:rPr>
          <w:rFonts w:ascii="Times New Roman" w:hAnsi="Times New Roman" w:cs="Times New Roman"/>
          <w:sz w:val="24"/>
        </w:rPr>
        <w:t xml:space="preserve">e </w:t>
      </w:r>
      <w:r w:rsidR="00C83C79" w:rsidRPr="00425C6E">
        <w:rPr>
          <w:rFonts w:ascii="Times New Roman" w:hAnsi="Times New Roman" w:cs="Times New Roman"/>
          <w:sz w:val="24"/>
        </w:rPr>
        <w:t>Contratações</w:t>
      </w:r>
      <w:r w:rsidR="00625A72" w:rsidRPr="00425C6E">
        <w:rPr>
          <w:rFonts w:ascii="Times New Roman" w:hAnsi="Times New Roman" w:cs="Times New Roman"/>
          <w:sz w:val="24"/>
        </w:rPr>
        <w:t>;</w:t>
      </w:r>
    </w:p>
    <w:p w14:paraId="4B9BDD41" w14:textId="44AEE4CA" w:rsidR="00E55406" w:rsidRPr="00425C6E" w:rsidRDefault="00E55406" w:rsidP="00E5540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7: Aprimorar a </w:t>
      </w:r>
      <w:r w:rsidR="00D8761D" w:rsidRPr="00425C6E">
        <w:rPr>
          <w:rFonts w:ascii="Times New Roman" w:hAnsi="Times New Roman" w:cs="Times New Roman"/>
          <w:sz w:val="24"/>
        </w:rPr>
        <w:t>S</w:t>
      </w:r>
      <w:r w:rsidRPr="00425C6E">
        <w:rPr>
          <w:rFonts w:ascii="Times New Roman" w:hAnsi="Times New Roman" w:cs="Times New Roman"/>
          <w:sz w:val="24"/>
        </w:rPr>
        <w:t xml:space="preserve">egurança da </w:t>
      </w:r>
      <w:r w:rsidR="00D8761D" w:rsidRPr="00425C6E">
        <w:rPr>
          <w:rFonts w:ascii="Times New Roman" w:hAnsi="Times New Roman" w:cs="Times New Roman"/>
          <w:sz w:val="24"/>
        </w:rPr>
        <w:t>I</w:t>
      </w:r>
      <w:r w:rsidRPr="00425C6E">
        <w:rPr>
          <w:rFonts w:ascii="Times New Roman" w:hAnsi="Times New Roman" w:cs="Times New Roman"/>
          <w:sz w:val="24"/>
        </w:rPr>
        <w:t xml:space="preserve">nformação e a </w:t>
      </w:r>
      <w:r w:rsidR="00D8761D" w:rsidRPr="00425C6E">
        <w:rPr>
          <w:rFonts w:ascii="Times New Roman" w:hAnsi="Times New Roman" w:cs="Times New Roman"/>
          <w:sz w:val="24"/>
        </w:rPr>
        <w:t>G</w:t>
      </w:r>
      <w:r w:rsidRPr="00425C6E">
        <w:rPr>
          <w:rFonts w:ascii="Times New Roman" w:hAnsi="Times New Roman" w:cs="Times New Roman"/>
          <w:sz w:val="24"/>
        </w:rPr>
        <w:t xml:space="preserve">estão de </w:t>
      </w:r>
      <w:r w:rsidR="00D8761D" w:rsidRPr="00425C6E">
        <w:rPr>
          <w:rFonts w:ascii="Times New Roman" w:hAnsi="Times New Roman" w:cs="Times New Roman"/>
          <w:sz w:val="24"/>
        </w:rPr>
        <w:t>D</w:t>
      </w:r>
      <w:r w:rsidRPr="00425C6E">
        <w:rPr>
          <w:rFonts w:ascii="Times New Roman" w:hAnsi="Times New Roman" w:cs="Times New Roman"/>
          <w:sz w:val="24"/>
        </w:rPr>
        <w:t>ados.</w:t>
      </w:r>
    </w:p>
    <w:p w14:paraId="3361BBF5" w14:textId="55E1329F" w:rsidR="00E844BA" w:rsidRPr="00425C6E" w:rsidRDefault="00E844BA" w:rsidP="00E844B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Objetivo </w:t>
      </w:r>
      <w:r w:rsidR="00E55406" w:rsidRPr="00425C6E">
        <w:rPr>
          <w:rFonts w:ascii="Times New Roman" w:hAnsi="Times New Roman" w:cs="Times New Roman"/>
          <w:sz w:val="24"/>
        </w:rPr>
        <w:t>8</w:t>
      </w:r>
      <w:r w:rsidRPr="00425C6E">
        <w:rPr>
          <w:rFonts w:ascii="Times New Roman" w:hAnsi="Times New Roman" w:cs="Times New Roman"/>
          <w:sz w:val="24"/>
        </w:rPr>
        <w:t xml:space="preserve">: </w:t>
      </w:r>
      <w:r w:rsidR="00E73A28" w:rsidRPr="00425C6E">
        <w:rPr>
          <w:rFonts w:ascii="Times New Roman" w:hAnsi="Times New Roman" w:cs="Times New Roman"/>
          <w:sz w:val="24"/>
        </w:rPr>
        <w:t xml:space="preserve">Promover </w:t>
      </w:r>
      <w:r w:rsidR="00C83C79" w:rsidRPr="00425C6E">
        <w:rPr>
          <w:rFonts w:ascii="Times New Roman" w:hAnsi="Times New Roman" w:cs="Times New Roman"/>
          <w:sz w:val="24"/>
        </w:rPr>
        <w:t xml:space="preserve">Serviços </w:t>
      </w:r>
      <w:r w:rsidR="00E73A28" w:rsidRPr="00425C6E">
        <w:rPr>
          <w:rFonts w:ascii="Times New Roman" w:hAnsi="Times New Roman" w:cs="Times New Roman"/>
          <w:sz w:val="24"/>
        </w:rPr>
        <w:t xml:space="preserve">de </w:t>
      </w:r>
      <w:r w:rsidR="00C83C79" w:rsidRPr="00425C6E">
        <w:rPr>
          <w:rFonts w:ascii="Times New Roman" w:hAnsi="Times New Roman" w:cs="Times New Roman"/>
          <w:sz w:val="24"/>
        </w:rPr>
        <w:t xml:space="preserve">Infraestrutura </w:t>
      </w:r>
      <w:r w:rsidR="00E73A28" w:rsidRPr="00425C6E">
        <w:rPr>
          <w:rFonts w:ascii="Times New Roman" w:hAnsi="Times New Roman" w:cs="Times New Roman"/>
          <w:sz w:val="24"/>
        </w:rPr>
        <w:t xml:space="preserve">e </w:t>
      </w:r>
      <w:r w:rsidR="00C83C79" w:rsidRPr="00425C6E">
        <w:rPr>
          <w:rFonts w:ascii="Times New Roman" w:hAnsi="Times New Roman" w:cs="Times New Roman"/>
          <w:sz w:val="24"/>
        </w:rPr>
        <w:t>Soluções Corporativas</w:t>
      </w:r>
      <w:r w:rsidR="00AC21F2" w:rsidRPr="00425C6E">
        <w:rPr>
          <w:rFonts w:ascii="Times New Roman" w:hAnsi="Times New Roman" w:cs="Times New Roman"/>
          <w:sz w:val="24"/>
        </w:rPr>
        <w:t>;</w:t>
      </w:r>
    </w:p>
    <w:p w14:paraId="55BC9AEF" w14:textId="5D7C7565" w:rsidR="008752DE" w:rsidRPr="00425C6E" w:rsidRDefault="004C3BD5" w:rsidP="007B1674">
      <w:pPr>
        <w:pStyle w:val="PargrafodaLista"/>
        <w:numPr>
          <w:ilvl w:val="0"/>
          <w:numId w:val="1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sz w:val="24"/>
          <w:szCs w:val="24"/>
        </w:rPr>
        <w:t>Meta: Atingir no mínimo</w:t>
      </w:r>
      <w:r w:rsidR="008752DE" w:rsidRPr="00425C6E">
        <w:rPr>
          <w:rFonts w:ascii="Times New Roman" w:hAnsi="Times New Roman" w:cs="Times New Roman"/>
          <w:sz w:val="24"/>
          <w:szCs w:val="24"/>
        </w:rPr>
        <w:t xml:space="preserve"> 75% </w:t>
      </w:r>
      <w:r w:rsidR="003A70BF" w:rsidRPr="00425C6E">
        <w:rPr>
          <w:rFonts w:ascii="Times New Roman" w:hAnsi="Times New Roman" w:cs="Times New Roman"/>
          <w:sz w:val="24"/>
          <w:szCs w:val="24"/>
        </w:rPr>
        <w:t xml:space="preserve">(setenta e cinco por cento) </w:t>
      </w:r>
      <w:r w:rsidR="008752DE" w:rsidRPr="00425C6E">
        <w:rPr>
          <w:rFonts w:ascii="Times New Roman" w:hAnsi="Times New Roman" w:cs="Times New Roman"/>
          <w:sz w:val="24"/>
          <w:szCs w:val="24"/>
        </w:rPr>
        <w:t xml:space="preserve">dos órgãos do Poder Judiciário </w:t>
      </w:r>
      <w:r w:rsidRPr="00425C6E">
        <w:rPr>
          <w:rFonts w:ascii="Times New Roman" w:hAnsi="Times New Roman" w:cs="Times New Roman"/>
          <w:sz w:val="24"/>
          <w:szCs w:val="24"/>
        </w:rPr>
        <w:t>com nível</w:t>
      </w:r>
      <w:r w:rsidR="008752DE" w:rsidRPr="00425C6E">
        <w:rPr>
          <w:rFonts w:ascii="Times New Roman" w:hAnsi="Times New Roman" w:cs="Times New Roman"/>
          <w:sz w:val="24"/>
          <w:szCs w:val="24"/>
        </w:rPr>
        <w:t xml:space="preserve"> de maturidade satisfatório no</w:t>
      </w:r>
      <w:r w:rsidR="009379A6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9379A6" w:rsidRPr="00425C6E">
        <w:rPr>
          <w:rFonts w:ascii="Times New Roman" w:hAnsi="Times New Roman" w:cs="Times New Roman"/>
          <w:sz w:val="24"/>
        </w:rPr>
        <w:t>índice de Governança de Tecnologia da Informação e Comunicação</w:t>
      </w:r>
      <w:r w:rsidR="008752DE" w:rsidRP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9379A6" w:rsidRPr="00425C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52DE" w:rsidRPr="00425C6E">
        <w:rPr>
          <w:rFonts w:ascii="Times New Roman" w:hAnsi="Times New Roman" w:cs="Times New Roman"/>
          <w:sz w:val="24"/>
          <w:szCs w:val="24"/>
        </w:rPr>
        <w:t>iGovTIC</w:t>
      </w:r>
      <w:proofErr w:type="spellEnd"/>
      <w:r w:rsidR="008752DE" w:rsidRPr="00425C6E">
        <w:rPr>
          <w:rFonts w:ascii="Times New Roman" w:hAnsi="Times New Roman" w:cs="Times New Roman"/>
          <w:sz w:val="24"/>
          <w:szCs w:val="24"/>
        </w:rPr>
        <w:t>-JUD</w:t>
      </w:r>
      <w:r w:rsidR="009379A6" w:rsidRPr="00425C6E">
        <w:rPr>
          <w:rFonts w:ascii="Times New Roman" w:hAnsi="Times New Roman" w:cs="Times New Roman"/>
          <w:sz w:val="24"/>
          <w:szCs w:val="24"/>
        </w:rPr>
        <w:t>)</w:t>
      </w:r>
      <w:r w:rsidR="008752DE" w:rsidRPr="00425C6E">
        <w:rPr>
          <w:rFonts w:ascii="Times New Roman" w:hAnsi="Times New Roman" w:cs="Times New Roman"/>
          <w:sz w:val="24"/>
          <w:szCs w:val="24"/>
        </w:rPr>
        <w:t xml:space="preserve"> até </w:t>
      </w:r>
      <w:r w:rsidR="00DF317C" w:rsidRPr="00425C6E">
        <w:rPr>
          <w:rFonts w:ascii="Times New Roman" w:hAnsi="Times New Roman" w:cs="Times New Roman"/>
          <w:sz w:val="24"/>
          <w:szCs w:val="24"/>
        </w:rPr>
        <w:t>d</w:t>
      </w:r>
      <w:r w:rsidRPr="00425C6E">
        <w:rPr>
          <w:rFonts w:ascii="Times New Roman" w:hAnsi="Times New Roman" w:cs="Times New Roman"/>
          <w:sz w:val="24"/>
          <w:szCs w:val="24"/>
        </w:rPr>
        <w:t xml:space="preserve">ezembro de </w:t>
      </w:r>
      <w:r w:rsidR="008752DE" w:rsidRPr="00425C6E">
        <w:rPr>
          <w:rFonts w:ascii="Times New Roman" w:hAnsi="Times New Roman" w:cs="Times New Roman"/>
          <w:sz w:val="24"/>
          <w:szCs w:val="24"/>
        </w:rPr>
        <w:t>202</w:t>
      </w:r>
      <w:r w:rsidRPr="00425C6E">
        <w:rPr>
          <w:rFonts w:ascii="Times New Roman" w:hAnsi="Times New Roman" w:cs="Times New Roman"/>
          <w:sz w:val="24"/>
          <w:szCs w:val="24"/>
        </w:rPr>
        <w:t>6</w:t>
      </w:r>
      <w:r w:rsidR="008752DE" w:rsidRPr="00425C6E">
        <w:rPr>
          <w:rFonts w:ascii="Times New Roman" w:hAnsi="Times New Roman" w:cs="Times New Roman"/>
          <w:sz w:val="24"/>
          <w:szCs w:val="24"/>
        </w:rPr>
        <w:t>.</w:t>
      </w:r>
    </w:p>
    <w:p w14:paraId="77E4530C" w14:textId="77777777" w:rsidR="007E283F" w:rsidRPr="00425C6E" w:rsidRDefault="007E283F" w:rsidP="0052479E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5F564C0E" w14:textId="7B43FF64" w:rsidR="00C02EDD" w:rsidRPr="00425C6E" w:rsidRDefault="00A6294C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0C6931" w:rsidRPr="00425C6E">
        <w:rPr>
          <w:rFonts w:ascii="Times New Roman" w:hAnsi="Times New Roman" w:cs="Times New Roman"/>
          <w:b/>
          <w:bCs/>
          <w:sz w:val="24"/>
        </w:rPr>
        <w:t>II</w:t>
      </w:r>
    </w:p>
    <w:p w14:paraId="0CB09B24" w14:textId="3DDB561B" w:rsidR="00C02EDD" w:rsidRPr="00425C6E" w:rsidRDefault="00A6294C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Do Objetivo </w:t>
      </w:r>
      <w:r w:rsidR="00F77A6D" w:rsidRPr="00425C6E">
        <w:rPr>
          <w:rFonts w:ascii="Times New Roman" w:hAnsi="Times New Roman" w:cs="Times New Roman"/>
          <w:b/>
          <w:bCs/>
          <w:sz w:val="24"/>
        </w:rPr>
        <w:t>e</w:t>
      </w:r>
      <w:r w:rsidRPr="00425C6E">
        <w:rPr>
          <w:rFonts w:ascii="Times New Roman" w:hAnsi="Times New Roman" w:cs="Times New Roman"/>
          <w:b/>
          <w:bCs/>
          <w:sz w:val="24"/>
        </w:rPr>
        <w:t xml:space="preserve"> Princípios</w:t>
      </w:r>
    </w:p>
    <w:p w14:paraId="1279B252" w14:textId="77777777" w:rsidR="00AC0547" w:rsidRPr="00425C6E" w:rsidRDefault="00AC0547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44E46B6C" w14:textId="0CF40443" w:rsidR="00FE35BE" w:rsidRPr="00425C6E" w:rsidRDefault="00FE35BE" w:rsidP="00310A88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</w:t>
      </w:r>
      <w:r w:rsidR="004D53D4" w:rsidRPr="00425C6E">
        <w:rPr>
          <w:rFonts w:cs="Times New Roman"/>
        </w:rPr>
        <w:t xml:space="preserve">Estratégia Nacional de Tecnologia da Informação e Comunicação do Poder Judiciário </w:t>
      </w:r>
      <w:r w:rsidR="009379A6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tem como meta promover a melhoria da </w:t>
      </w:r>
      <w:r w:rsidR="00B231CC" w:rsidRPr="00425C6E">
        <w:rPr>
          <w:rFonts w:cs="Times New Roman"/>
        </w:rPr>
        <w:t>g</w:t>
      </w:r>
      <w:r w:rsidRPr="00425C6E">
        <w:rPr>
          <w:rFonts w:cs="Times New Roman"/>
        </w:rPr>
        <w:t xml:space="preserve">overnança, da </w:t>
      </w:r>
      <w:r w:rsidR="00B231CC" w:rsidRPr="00425C6E">
        <w:rPr>
          <w:rFonts w:cs="Times New Roman"/>
        </w:rPr>
        <w:t>g</w:t>
      </w:r>
      <w:r w:rsidRPr="00425C6E">
        <w:rPr>
          <w:rFonts w:cs="Times New Roman"/>
        </w:rPr>
        <w:t xml:space="preserve">estão e da </w:t>
      </w:r>
      <w:r w:rsidR="00B231CC" w:rsidRPr="00425C6E">
        <w:rPr>
          <w:rFonts w:cs="Times New Roman"/>
        </w:rPr>
        <w:t>c</w:t>
      </w:r>
      <w:r w:rsidRPr="00425C6E">
        <w:rPr>
          <w:rFonts w:cs="Times New Roman"/>
        </w:rPr>
        <w:t>olaboração</w:t>
      </w:r>
      <w:r w:rsidR="00170766" w:rsidRPr="00425C6E">
        <w:rPr>
          <w:rFonts w:cs="Times New Roman"/>
        </w:rPr>
        <w:t xml:space="preserve"> </w:t>
      </w:r>
      <w:r w:rsidR="005857FD" w:rsidRPr="00425C6E">
        <w:rPr>
          <w:rFonts w:cs="Times New Roman"/>
        </w:rPr>
        <w:t>t</w:t>
      </w:r>
      <w:r w:rsidRPr="00425C6E">
        <w:rPr>
          <w:rFonts w:cs="Times New Roman"/>
        </w:rPr>
        <w:t xml:space="preserve">ecnológica no âmbito do Poder Judiciário, visando </w:t>
      </w:r>
      <w:r w:rsidR="00F90BC8" w:rsidRPr="00425C6E">
        <w:rPr>
          <w:rFonts w:cs="Times New Roman"/>
        </w:rPr>
        <w:t>direcionar e pro</w:t>
      </w:r>
      <w:r w:rsidR="00A34892" w:rsidRPr="00425C6E">
        <w:rPr>
          <w:rFonts w:cs="Times New Roman"/>
        </w:rPr>
        <w:t>piciar</w:t>
      </w:r>
      <w:r w:rsidR="00F90BC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a eficiência, eficácia, efetividade e economicidade dos órgãos, com o objetivo de maximizar os resultados com otimização de recursos.</w:t>
      </w:r>
    </w:p>
    <w:p w14:paraId="20A22A23" w14:textId="624FCFF4" w:rsidR="00C02EDD" w:rsidRPr="00425C6E" w:rsidRDefault="00C02EDD" w:rsidP="00A820C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Parágrafo único. A materialização </w:t>
      </w:r>
      <w:r w:rsidR="00D83683" w:rsidRPr="00425C6E">
        <w:rPr>
          <w:rFonts w:ascii="Times New Roman" w:hAnsi="Times New Roman" w:cs="Times New Roman"/>
          <w:sz w:val="24"/>
        </w:rPr>
        <w:t>da</w:t>
      </w:r>
      <w:r w:rsidRPr="00425C6E">
        <w:rPr>
          <w:rFonts w:ascii="Times New Roman" w:hAnsi="Times New Roman" w:cs="Times New Roman"/>
          <w:sz w:val="24"/>
        </w:rPr>
        <w:t xml:space="preserve"> meta se dará a partir do alcance dos objetivos estratégicos estabelecidos que serão concretizados por meio de execução da </w:t>
      </w:r>
      <w:r w:rsidR="004D53D4" w:rsidRPr="00425C6E">
        <w:rPr>
          <w:rFonts w:ascii="Times New Roman" w:hAnsi="Times New Roman" w:cs="Times New Roman"/>
          <w:sz w:val="24"/>
        </w:rPr>
        <w:t xml:space="preserve">Estratégia Nacional de Tecnologia da Informação e Comunicação do Poder Judiciário </w:t>
      </w:r>
      <w:r w:rsidR="009379A6" w:rsidRPr="00425C6E">
        <w:rPr>
          <w:rFonts w:ascii="Times New Roman" w:hAnsi="Times New Roman" w:cs="Times New Roman"/>
          <w:sz w:val="24"/>
        </w:rPr>
        <w:t>(</w:t>
      </w:r>
      <w:r w:rsidRPr="00425C6E">
        <w:rPr>
          <w:rFonts w:ascii="Times New Roman" w:hAnsi="Times New Roman" w:cs="Times New Roman"/>
          <w:sz w:val="24"/>
        </w:rPr>
        <w:t>ENTIC-JUD</w:t>
      </w:r>
      <w:r w:rsidR="009379A6" w:rsidRPr="00425C6E">
        <w:rPr>
          <w:rFonts w:ascii="Times New Roman" w:hAnsi="Times New Roman" w:cs="Times New Roman"/>
          <w:sz w:val="24"/>
        </w:rPr>
        <w:t>)</w:t>
      </w:r>
      <w:r w:rsidR="0033446C" w:rsidRPr="00425C6E">
        <w:rPr>
          <w:rFonts w:ascii="Times New Roman" w:hAnsi="Times New Roman" w:cs="Times New Roman"/>
          <w:sz w:val="24"/>
        </w:rPr>
        <w:t xml:space="preserve"> de forma colaborativa e participativa,</w:t>
      </w:r>
      <w:r w:rsidRPr="00425C6E">
        <w:rPr>
          <w:rFonts w:ascii="Times New Roman" w:hAnsi="Times New Roman" w:cs="Times New Roman"/>
          <w:sz w:val="24"/>
        </w:rPr>
        <w:t xml:space="preserve"> em consonância com as Diretrizes Estratégicas de Nivelamento contidas nesta Resolução.</w:t>
      </w:r>
    </w:p>
    <w:p w14:paraId="08373F49" w14:textId="171741C3" w:rsidR="00C02EDD" w:rsidRPr="00425C6E" w:rsidRDefault="00C02EDD" w:rsidP="00310A88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As</w:t>
      </w:r>
      <w:r w:rsidR="00613FCB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Diretrizes</w:t>
      </w:r>
      <w:r w:rsidR="00BD5E4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Estratégicas</w:t>
      </w:r>
      <w:r w:rsidR="00BD5E4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de</w:t>
      </w:r>
      <w:r w:rsidR="00BD5E4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Nivelamento,</w:t>
      </w:r>
      <w:r w:rsidR="00BD5E4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em</w:t>
      </w:r>
      <w:r w:rsidR="00BD5E4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seu conjunto, promoverão o objetivo almejado por meio do aperfeiçoamento dos Viabilizadores de</w:t>
      </w:r>
      <w:r w:rsidR="000C6931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Governança de Tecnologia da Informação e Comunicação, que serão divididos em </w:t>
      </w:r>
      <w:r w:rsidR="00227517" w:rsidRPr="00425C6E">
        <w:rPr>
          <w:rFonts w:cs="Times New Roman"/>
        </w:rPr>
        <w:t>0</w:t>
      </w:r>
      <w:r w:rsidRPr="00425C6E">
        <w:rPr>
          <w:rFonts w:cs="Times New Roman"/>
        </w:rPr>
        <w:t>2 (dois)</w:t>
      </w:r>
      <w:r w:rsidR="000C6931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domínios: Governança e Gestão</w:t>
      </w:r>
      <w:r w:rsidR="00D83683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e </w:t>
      </w:r>
      <w:r w:rsidR="00723484" w:rsidRPr="00425C6E">
        <w:rPr>
          <w:rFonts w:cs="Times New Roman"/>
        </w:rPr>
        <w:t xml:space="preserve">Gerenciamento de </w:t>
      </w:r>
      <w:r w:rsidR="00D83683" w:rsidRPr="00425C6E">
        <w:rPr>
          <w:rFonts w:cs="Times New Roman"/>
        </w:rPr>
        <w:t>Serviços</w:t>
      </w:r>
      <w:r w:rsidRPr="00425C6E">
        <w:rPr>
          <w:rFonts w:cs="Times New Roman"/>
        </w:rPr>
        <w:t xml:space="preserve"> de TIC.</w:t>
      </w:r>
    </w:p>
    <w:p w14:paraId="4A837A55" w14:textId="4876FA2F" w:rsidR="00C02EDD" w:rsidRPr="00425C6E" w:rsidRDefault="00C02EDD" w:rsidP="00900794">
      <w:pPr>
        <w:pStyle w:val="Artigopargrafos"/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 </w:t>
      </w:r>
      <w:r w:rsidR="00320D7E" w:rsidRPr="00425C6E">
        <w:rPr>
          <w:rFonts w:cs="Times New Roman"/>
        </w:rPr>
        <w:t xml:space="preserve">O </w:t>
      </w:r>
      <w:r w:rsidRPr="00425C6E">
        <w:rPr>
          <w:rFonts w:cs="Times New Roman"/>
        </w:rPr>
        <w:t xml:space="preserve">domínio de Governança e Gestão de TIC conterá os seguintes temas: Políticas e </w:t>
      </w:r>
      <w:r w:rsidR="000C6931" w:rsidRPr="00425C6E">
        <w:rPr>
          <w:rFonts w:cs="Times New Roman"/>
        </w:rPr>
        <w:t>Planejamento,</w:t>
      </w:r>
      <w:r w:rsidR="00EF0218" w:rsidRPr="00425C6E">
        <w:rPr>
          <w:rFonts w:cs="Times New Roman"/>
        </w:rPr>
        <w:t xml:space="preserve"> </w:t>
      </w:r>
      <w:proofErr w:type="spellStart"/>
      <w:r w:rsidR="00EF0218" w:rsidRPr="00425C6E">
        <w:rPr>
          <w:rFonts w:cs="Times New Roman"/>
        </w:rPr>
        <w:t>iGovTIC</w:t>
      </w:r>
      <w:proofErr w:type="spellEnd"/>
      <w:r w:rsidR="00EF0218" w:rsidRPr="00425C6E">
        <w:rPr>
          <w:rFonts w:cs="Times New Roman"/>
        </w:rPr>
        <w:t>-JUD,</w:t>
      </w:r>
      <w:r w:rsidRPr="00425C6E">
        <w:rPr>
          <w:rFonts w:cs="Times New Roman"/>
        </w:rPr>
        <w:t xml:space="preserve"> </w:t>
      </w:r>
      <w:r w:rsidR="00264129" w:rsidRPr="00425C6E">
        <w:rPr>
          <w:rFonts w:cs="Times New Roman"/>
        </w:rPr>
        <w:t xml:space="preserve">Transformação Digital, </w:t>
      </w:r>
      <w:r w:rsidR="00875837" w:rsidRPr="00425C6E">
        <w:rPr>
          <w:rFonts w:cs="Times New Roman"/>
        </w:rPr>
        <w:t xml:space="preserve">Atendimento e Suporte ao Usuário, </w:t>
      </w:r>
      <w:r w:rsidRPr="00425C6E">
        <w:rPr>
          <w:rFonts w:cs="Times New Roman"/>
        </w:rPr>
        <w:t>Estruturas Organizacionais e Macroprocessos e Pessoas.</w:t>
      </w:r>
    </w:p>
    <w:p w14:paraId="6F8E67FE" w14:textId="1FCF5F50" w:rsidR="00670DB0" w:rsidRPr="00425C6E" w:rsidRDefault="00A62591" w:rsidP="00230E77">
      <w:pPr>
        <w:pStyle w:val="Artigopargrafos"/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domínio </w:t>
      </w:r>
      <w:r w:rsidR="00670DB0" w:rsidRPr="00425C6E">
        <w:rPr>
          <w:rFonts w:cs="Times New Roman"/>
        </w:rPr>
        <w:t xml:space="preserve">dos </w:t>
      </w:r>
      <w:r w:rsidR="00D83683" w:rsidRPr="00425C6E">
        <w:rPr>
          <w:rFonts w:cs="Times New Roman"/>
        </w:rPr>
        <w:t xml:space="preserve">Serviços </w:t>
      </w:r>
      <w:r w:rsidRPr="00425C6E">
        <w:rPr>
          <w:rFonts w:cs="Times New Roman"/>
        </w:rPr>
        <w:t xml:space="preserve">de TIC conterá os seguintes temas: Sistemas de Informação, </w:t>
      </w:r>
      <w:r w:rsidR="00670DB0" w:rsidRPr="00425C6E">
        <w:rPr>
          <w:rFonts w:cs="Times New Roman"/>
        </w:rPr>
        <w:t xml:space="preserve">Infraestrutura </w:t>
      </w:r>
      <w:r w:rsidR="00F76E5C" w:rsidRPr="00425C6E">
        <w:rPr>
          <w:rFonts w:cs="Times New Roman"/>
        </w:rPr>
        <w:t xml:space="preserve">Tecnológica </w:t>
      </w:r>
      <w:r w:rsidR="00670DB0" w:rsidRPr="00425C6E">
        <w:rPr>
          <w:rFonts w:cs="Times New Roman"/>
        </w:rPr>
        <w:t xml:space="preserve">e </w:t>
      </w:r>
      <w:r w:rsidR="00F76E5C" w:rsidRPr="00425C6E">
        <w:rPr>
          <w:rFonts w:cs="Times New Roman"/>
        </w:rPr>
        <w:t xml:space="preserve">Serviços </w:t>
      </w:r>
      <w:r w:rsidR="00670DB0" w:rsidRPr="00425C6E">
        <w:rPr>
          <w:rFonts w:cs="Times New Roman"/>
        </w:rPr>
        <w:t>em Nuvem, Riscos, Segurança da Informação e Proteção de Dados.</w:t>
      </w:r>
    </w:p>
    <w:p w14:paraId="71883915" w14:textId="6F376990" w:rsidR="00A518D7" w:rsidRPr="00425C6E" w:rsidRDefault="00A518D7" w:rsidP="00F37EBD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Institui-se como instrumento de orientação e dire</w:t>
      </w:r>
      <w:r w:rsidR="00F00886" w:rsidRPr="00425C6E">
        <w:rPr>
          <w:rFonts w:cs="Times New Roman"/>
        </w:rPr>
        <w:t>cionamento à presente Resolução</w:t>
      </w:r>
      <w:r w:rsidRPr="00425C6E">
        <w:rPr>
          <w:rFonts w:cs="Times New Roman"/>
        </w:rPr>
        <w:t xml:space="preserve"> o Guia Estratégico de TIC do Poder Judiciário que conterá os procedimentos, recomendações e boas práticas aplicáveis ao tema</w:t>
      </w:r>
      <w:r w:rsidR="000C0809" w:rsidRPr="00425C6E">
        <w:rPr>
          <w:rFonts w:cs="Times New Roman"/>
        </w:rPr>
        <w:t xml:space="preserve">, cuja disponibilização </w:t>
      </w:r>
      <w:r w:rsidR="00A9733A" w:rsidRPr="00425C6E">
        <w:rPr>
          <w:rFonts w:cs="Times New Roman"/>
        </w:rPr>
        <w:t>ocorrerá em</w:t>
      </w:r>
      <w:r w:rsidR="000C0809" w:rsidRPr="00425C6E">
        <w:rPr>
          <w:rFonts w:cs="Times New Roman"/>
        </w:rPr>
        <w:t xml:space="preserve"> até 120 </w:t>
      </w:r>
      <w:r w:rsidR="007A615D" w:rsidRPr="00425C6E">
        <w:rPr>
          <w:rFonts w:cs="Times New Roman"/>
        </w:rPr>
        <w:t xml:space="preserve">(cento e vinte) </w:t>
      </w:r>
      <w:r w:rsidR="000C0809" w:rsidRPr="00425C6E">
        <w:rPr>
          <w:rFonts w:cs="Times New Roman"/>
        </w:rPr>
        <w:t>dias após a publicação desta Resolução.</w:t>
      </w:r>
    </w:p>
    <w:p w14:paraId="6FCB760D" w14:textId="14375635" w:rsidR="00360A8B" w:rsidRPr="00425C6E" w:rsidRDefault="00360A8B" w:rsidP="007B1674">
      <w:pPr>
        <w:pStyle w:val="Artigopargrafos"/>
        <w:numPr>
          <w:ilvl w:val="0"/>
          <w:numId w:val="27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O Guia será objeto de atualização ordinária anual, sem a necessidade de elaboração de nova Resolução, após parecer de mérito do Departamento de Tecnologia da Informação</w:t>
      </w:r>
      <w:r w:rsidR="00BB4ABB" w:rsidRPr="00425C6E">
        <w:rPr>
          <w:rFonts w:cs="Times New Roman"/>
        </w:rPr>
        <w:t xml:space="preserve"> (DTI)</w:t>
      </w:r>
      <w:r w:rsidRPr="00425C6E">
        <w:rPr>
          <w:rFonts w:cs="Times New Roman"/>
        </w:rPr>
        <w:t xml:space="preserve"> e aprovação da Comissão Permanente de Tecnologia da Informação e Inovação (</w:t>
      </w:r>
      <w:r w:rsidR="008B43F9" w:rsidRPr="00425C6E">
        <w:rPr>
          <w:rFonts w:cs="Times New Roman"/>
        </w:rPr>
        <w:t>CPTII</w:t>
      </w:r>
      <w:r w:rsidRPr="00425C6E">
        <w:rPr>
          <w:rFonts w:cs="Times New Roman"/>
        </w:rPr>
        <w:t>) do Conselho Nacional de Justiça</w:t>
      </w:r>
      <w:r w:rsidR="00BB4ABB" w:rsidRPr="00425C6E">
        <w:rPr>
          <w:rFonts w:cs="Times New Roman"/>
        </w:rPr>
        <w:t xml:space="preserve"> (CNJ)</w:t>
      </w:r>
      <w:r w:rsidRPr="00425C6E">
        <w:rPr>
          <w:rFonts w:cs="Times New Roman"/>
        </w:rPr>
        <w:t>, assegurado o controle documental e versionamento</w:t>
      </w:r>
      <w:r w:rsidR="00FC0437" w:rsidRPr="00425C6E">
        <w:rPr>
          <w:rFonts w:cs="Times New Roman"/>
        </w:rPr>
        <w:t>.</w:t>
      </w:r>
    </w:p>
    <w:p w14:paraId="6B7CB965" w14:textId="29A81478" w:rsidR="00360A8B" w:rsidRPr="00425C6E" w:rsidRDefault="00360A8B" w:rsidP="009379A6">
      <w:pPr>
        <w:pStyle w:val="Artigopargrafos"/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Extraordinariamente poderão ser solicitadas revisões do Guia encaminhadas pelos dirigentes de Tecnologia da Informação dos órgãos submetidos ao controle administrativo e financeiro do </w:t>
      </w:r>
      <w:r w:rsidR="009379A6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9379A6" w:rsidRPr="00425C6E">
        <w:rPr>
          <w:rFonts w:cs="Times New Roman"/>
        </w:rPr>
        <w:t>)</w:t>
      </w:r>
      <w:r w:rsidR="00FC0437" w:rsidRPr="00425C6E">
        <w:rPr>
          <w:rFonts w:cs="Times New Roman"/>
        </w:rPr>
        <w:t>.</w:t>
      </w:r>
    </w:p>
    <w:p w14:paraId="2E96E0AE" w14:textId="24B298A2" w:rsidR="009379A6" w:rsidRPr="00425C6E" w:rsidRDefault="00360A8B" w:rsidP="00F237F3">
      <w:pPr>
        <w:pStyle w:val="Artigopargrafos"/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Os pedidos de revisão do Guia abrangerão a inclusão de sugestões, </w:t>
      </w:r>
      <w:r w:rsidR="00D8761D" w:rsidRPr="00425C6E">
        <w:rPr>
          <w:rFonts w:cs="Times New Roman"/>
        </w:rPr>
        <w:t xml:space="preserve">revisões </w:t>
      </w:r>
      <w:r w:rsidRPr="00425C6E">
        <w:rPr>
          <w:rFonts w:cs="Times New Roman"/>
        </w:rPr>
        <w:t>ou melhorias, devendo ser devidamente justificados.</w:t>
      </w:r>
    </w:p>
    <w:p w14:paraId="17022451" w14:textId="25A6F1B2" w:rsidR="00C02EDD" w:rsidRPr="00425C6E" w:rsidRDefault="00E50BE9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0C6931" w:rsidRPr="00425C6E">
        <w:rPr>
          <w:rFonts w:ascii="Times New Roman" w:hAnsi="Times New Roman" w:cs="Times New Roman"/>
          <w:b/>
          <w:bCs/>
          <w:sz w:val="24"/>
        </w:rPr>
        <w:t>III</w:t>
      </w:r>
    </w:p>
    <w:p w14:paraId="4837F085" w14:textId="6B518B9E" w:rsidR="00C02EDD" w:rsidRPr="00425C6E" w:rsidRDefault="00E50BE9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 Governança e da Gestão de TIC</w:t>
      </w:r>
    </w:p>
    <w:p w14:paraId="251307E4" w14:textId="5B492D6D" w:rsidR="00C02EDD" w:rsidRPr="00425C6E" w:rsidRDefault="00E50BE9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I</w:t>
      </w:r>
    </w:p>
    <w:p w14:paraId="66228D0B" w14:textId="0E8D2BCE" w:rsidR="00C02EDD" w:rsidRPr="00425C6E" w:rsidRDefault="00E50BE9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Das Políticas e Planejamento</w:t>
      </w:r>
    </w:p>
    <w:p w14:paraId="2E21CD5F" w14:textId="77777777" w:rsidR="00B87B58" w:rsidRPr="00425C6E" w:rsidRDefault="00B87B58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2778DB46" w14:textId="5BABA5F7" w:rsidR="00250A31" w:rsidRPr="00425C6E" w:rsidRDefault="00250A31" w:rsidP="00D90004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bookmarkStart w:id="0" w:name="_Hlk47103456"/>
      <w:r w:rsidRPr="00425C6E">
        <w:rPr>
          <w:rFonts w:cs="Times New Roman"/>
        </w:rPr>
        <w:t>Cada órgão deverá elaborar e manter o Plano Diretor de Tecnologia da Informação e Comunicação (PDTIC)</w:t>
      </w:r>
      <w:r w:rsidR="006E1C05" w:rsidRPr="00425C6E">
        <w:rPr>
          <w:rFonts w:cs="Times New Roman"/>
        </w:rPr>
        <w:t>, o qual deverá elencar</w:t>
      </w:r>
      <w:r w:rsidRPr="00425C6E">
        <w:rPr>
          <w:rFonts w:cs="Times New Roman"/>
        </w:rPr>
        <w:t xml:space="preserve"> as ações que </w:t>
      </w:r>
      <w:r w:rsidR="00C145BD" w:rsidRPr="00425C6E">
        <w:rPr>
          <w:rFonts w:cs="Times New Roman"/>
        </w:rPr>
        <w:t>estarão alinhadas ao Planejamento Estratégico Institucional, ao Planejamento Estratégico N</w:t>
      </w:r>
      <w:r w:rsidRPr="00425C6E">
        <w:rPr>
          <w:rFonts w:cs="Times New Roman"/>
        </w:rPr>
        <w:t>aciona</w:t>
      </w:r>
      <w:r w:rsidR="00C145BD" w:rsidRPr="00425C6E">
        <w:rPr>
          <w:rFonts w:cs="Times New Roman"/>
        </w:rPr>
        <w:t>l</w:t>
      </w:r>
      <w:r w:rsidRPr="00425C6E">
        <w:rPr>
          <w:rFonts w:cs="Times New Roman"/>
        </w:rPr>
        <w:t xml:space="preserve"> do Poder Judiciário</w:t>
      </w:r>
      <w:r w:rsidR="00C145BD" w:rsidRPr="00425C6E">
        <w:rPr>
          <w:rFonts w:cs="Times New Roman"/>
        </w:rPr>
        <w:t xml:space="preserve"> e à E</w:t>
      </w:r>
      <w:r w:rsidR="004D53D4" w:rsidRPr="00425C6E">
        <w:rPr>
          <w:rFonts w:cs="Times New Roman"/>
        </w:rPr>
        <w:t xml:space="preserve">stratégia Nacional de Tecnologia da Informação e Comunicação do Poder Judiciário </w:t>
      </w:r>
      <w:r w:rsidR="009379A6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>.</w:t>
      </w:r>
    </w:p>
    <w:bookmarkEnd w:id="0"/>
    <w:p w14:paraId="3F587762" w14:textId="09C75DFA" w:rsidR="00E027B6" w:rsidRPr="00425C6E" w:rsidRDefault="00D90004" w:rsidP="007B1674">
      <w:pPr>
        <w:pStyle w:val="Artigopargrafos"/>
        <w:numPr>
          <w:ilvl w:val="0"/>
          <w:numId w:val="13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As propostas orçamentárias de TIC</w:t>
      </w:r>
      <w:r w:rsidR="721D99C5" w:rsidRPr="00425C6E">
        <w:rPr>
          <w:rFonts w:cs="Times New Roman"/>
        </w:rPr>
        <w:t xml:space="preserve"> de cada órgão</w:t>
      </w:r>
      <w:r w:rsidRPr="00425C6E">
        <w:rPr>
          <w:rFonts w:cs="Times New Roman"/>
        </w:rPr>
        <w:t xml:space="preserve"> deverão ser</w:t>
      </w:r>
      <w:r w:rsidR="688A1661" w:rsidRPr="00425C6E">
        <w:rPr>
          <w:rFonts w:cs="Times New Roman"/>
        </w:rPr>
        <w:t xml:space="preserve"> elaboradas em integral harmonia e alinhamento</w:t>
      </w:r>
      <w:r w:rsidRPr="00425C6E">
        <w:rPr>
          <w:rFonts w:cs="Times New Roman"/>
        </w:rPr>
        <w:t xml:space="preserve"> aos seus respectivos </w:t>
      </w:r>
      <w:r w:rsidR="004D73C5" w:rsidRPr="00425C6E">
        <w:rPr>
          <w:rFonts w:cs="Times New Roman"/>
        </w:rPr>
        <w:t>Planos Diretores</w:t>
      </w:r>
      <w:r w:rsidR="66874309" w:rsidRPr="00425C6E">
        <w:rPr>
          <w:rFonts w:cs="Times New Roman"/>
        </w:rPr>
        <w:t>.</w:t>
      </w:r>
    </w:p>
    <w:p w14:paraId="2B0A6915" w14:textId="0A32D06D" w:rsidR="00F86E6A" w:rsidRPr="00425C6E" w:rsidRDefault="00F86E6A" w:rsidP="007B1674">
      <w:pPr>
        <w:pStyle w:val="Artigopargrafos"/>
        <w:numPr>
          <w:ilvl w:val="0"/>
          <w:numId w:val="13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 As despesas de TIC terão preferência sobre as demais, salvo determinação expressa da Administração, competindo </w:t>
      </w:r>
      <w:r w:rsidR="00591EB5" w:rsidRPr="00425C6E">
        <w:rPr>
          <w:rFonts w:cs="Times New Roman"/>
        </w:rPr>
        <w:t>ao órgão</w:t>
      </w:r>
      <w:r w:rsidR="00F70D7F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adotar as medidas necessárias para o cumprimento da presente Resolução</w:t>
      </w:r>
      <w:r w:rsidR="00A55B52" w:rsidRPr="00425C6E">
        <w:rPr>
          <w:rFonts w:cs="Times New Roman"/>
        </w:rPr>
        <w:t xml:space="preserve"> e </w:t>
      </w:r>
      <w:r w:rsidR="000A690F" w:rsidRPr="00425C6E">
        <w:rPr>
          <w:rFonts w:cs="Times New Roman"/>
        </w:rPr>
        <w:t xml:space="preserve">pela área financeira do respectivo Tribunal </w:t>
      </w:r>
      <w:r w:rsidR="00F70D7F" w:rsidRPr="00425C6E">
        <w:rPr>
          <w:rFonts w:cs="Times New Roman"/>
        </w:rPr>
        <w:t>à</w:t>
      </w:r>
      <w:r w:rsidRPr="00425C6E">
        <w:rPr>
          <w:rFonts w:cs="Times New Roman"/>
        </w:rPr>
        <w:t xml:space="preserve"> fiscalização e cumprimento da prioridade</w:t>
      </w:r>
      <w:r w:rsidR="00F70D7F" w:rsidRPr="00425C6E">
        <w:rPr>
          <w:rFonts w:cs="Times New Roman"/>
        </w:rPr>
        <w:t xml:space="preserve"> exigida</w:t>
      </w:r>
      <w:r w:rsidR="00AC38EE" w:rsidRPr="00425C6E">
        <w:rPr>
          <w:rFonts w:cs="Times New Roman"/>
        </w:rPr>
        <w:t xml:space="preserve">. </w:t>
      </w:r>
    </w:p>
    <w:p w14:paraId="5406C79E" w14:textId="3931DFFD" w:rsidR="00D90004" w:rsidRPr="00425C6E" w:rsidRDefault="000A4152" w:rsidP="007B1674">
      <w:pPr>
        <w:pStyle w:val="Artigopargrafos"/>
        <w:numPr>
          <w:ilvl w:val="0"/>
          <w:numId w:val="13"/>
        </w:numPr>
        <w:tabs>
          <w:tab w:val="left" w:pos="1701"/>
        </w:tabs>
        <w:ind w:left="0" w:firstLine="1134"/>
        <w:rPr>
          <w:rFonts w:cs="Times New Roman"/>
        </w:rPr>
      </w:pPr>
      <w:bookmarkStart w:id="1" w:name="_Hlk47103493"/>
      <w:r w:rsidRPr="00425C6E">
        <w:rPr>
          <w:rFonts w:cs="Times New Roman"/>
        </w:rPr>
        <w:t>O</w:t>
      </w:r>
      <w:r w:rsidR="00E027B6" w:rsidRPr="00425C6E">
        <w:rPr>
          <w:rFonts w:cs="Times New Roman"/>
        </w:rPr>
        <w:t xml:space="preserve">s </w:t>
      </w:r>
      <w:r w:rsidR="00B54F61" w:rsidRPr="00425C6E">
        <w:rPr>
          <w:rFonts w:cs="Times New Roman"/>
        </w:rPr>
        <w:t>órgãos</w:t>
      </w:r>
      <w:r w:rsidR="00E027B6" w:rsidRPr="00425C6E">
        <w:rPr>
          <w:rFonts w:cs="Times New Roman"/>
        </w:rPr>
        <w:t xml:space="preserve"> </w:t>
      </w:r>
      <w:r w:rsidR="009C5089" w:rsidRPr="00425C6E">
        <w:rPr>
          <w:rFonts w:cs="Times New Roman"/>
        </w:rPr>
        <w:t xml:space="preserve">que possuem </w:t>
      </w:r>
      <w:r w:rsidRPr="00425C6E">
        <w:rPr>
          <w:rFonts w:cs="Times New Roman"/>
        </w:rPr>
        <w:t xml:space="preserve">em seu planejamento o </w:t>
      </w:r>
      <w:r w:rsidR="00A17D38" w:rsidRPr="00425C6E">
        <w:rPr>
          <w:rFonts w:cs="Times New Roman"/>
        </w:rPr>
        <w:t>Plano Estr</w:t>
      </w:r>
      <w:r w:rsidRPr="00425C6E">
        <w:rPr>
          <w:rFonts w:cs="Times New Roman"/>
        </w:rPr>
        <w:t>atégico de TIC (</w:t>
      </w:r>
      <w:r w:rsidR="00E027B6" w:rsidRPr="00425C6E">
        <w:rPr>
          <w:rFonts w:cs="Times New Roman"/>
        </w:rPr>
        <w:t>PETIC</w:t>
      </w:r>
      <w:r w:rsidRPr="00425C6E">
        <w:rPr>
          <w:rFonts w:cs="Times New Roman"/>
        </w:rPr>
        <w:t>)</w:t>
      </w:r>
      <w:r w:rsidR="00E027B6" w:rsidRPr="00425C6E">
        <w:rPr>
          <w:rFonts w:cs="Times New Roman"/>
        </w:rPr>
        <w:t xml:space="preserve"> </w:t>
      </w:r>
      <w:r w:rsidR="00B86EBF" w:rsidRPr="00425C6E">
        <w:rPr>
          <w:rFonts w:cs="Times New Roman"/>
        </w:rPr>
        <w:t>poderão</w:t>
      </w:r>
      <w:r w:rsidR="00A17D38" w:rsidRPr="00425C6E">
        <w:rPr>
          <w:rFonts w:cs="Times New Roman"/>
        </w:rPr>
        <w:t xml:space="preserve"> utilizar este Instrumento</w:t>
      </w:r>
      <w:r w:rsidRPr="00425C6E">
        <w:rPr>
          <w:rFonts w:cs="Times New Roman"/>
        </w:rPr>
        <w:t xml:space="preserve"> </w:t>
      </w:r>
      <w:r w:rsidR="00E027B6" w:rsidRPr="00425C6E">
        <w:rPr>
          <w:rFonts w:cs="Times New Roman"/>
        </w:rPr>
        <w:t xml:space="preserve">até um ano </w:t>
      </w:r>
      <w:r w:rsidR="00A17D38" w:rsidRPr="00425C6E">
        <w:rPr>
          <w:rFonts w:cs="Times New Roman"/>
        </w:rPr>
        <w:t xml:space="preserve">após </w:t>
      </w:r>
      <w:r w:rsidR="00E027B6" w:rsidRPr="00425C6E">
        <w:rPr>
          <w:rFonts w:cs="Times New Roman"/>
        </w:rPr>
        <w:t>o início da vigência desta</w:t>
      </w:r>
      <w:r w:rsidR="00062D76" w:rsidRPr="00425C6E">
        <w:rPr>
          <w:rFonts w:cs="Times New Roman"/>
        </w:rPr>
        <w:t xml:space="preserve"> </w:t>
      </w:r>
      <w:r w:rsidR="00872B49" w:rsidRPr="00425C6E">
        <w:rPr>
          <w:rFonts w:cs="Times New Roman"/>
        </w:rPr>
        <w:t>Resolução</w:t>
      </w:r>
      <w:r w:rsidR="0019549B" w:rsidRPr="00425C6E">
        <w:rPr>
          <w:rFonts w:cs="Times New Roman"/>
        </w:rPr>
        <w:t xml:space="preserve">. </w:t>
      </w:r>
      <w:r w:rsidR="009D51F2" w:rsidRPr="00425C6E">
        <w:rPr>
          <w:rFonts w:cs="Times New Roman"/>
        </w:rPr>
        <w:t xml:space="preserve">Decorrido o </w:t>
      </w:r>
      <w:r w:rsidR="00B86EBF" w:rsidRPr="00425C6E">
        <w:rPr>
          <w:rFonts w:cs="Times New Roman"/>
        </w:rPr>
        <w:t>prazo, as</w:t>
      </w:r>
      <w:r w:rsidR="0019549B" w:rsidRPr="00425C6E">
        <w:rPr>
          <w:rFonts w:cs="Times New Roman"/>
        </w:rPr>
        <w:t xml:space="preserve"> linhas estratégicas</w:t>
      </w:r>
      <w:r w:rsidR="0028193C" w:rsidRPr="00425C6E">
        <w:rPr>
          <w:rFonts w:cs="Times New Roman"/>
        </w:rPr>
        <w:t xml:space="preserve"> de atuação</w:t>
      </w:r>
      <w:r w:rsidR="0019549B" w:rsidRPr="00425C6E">
        <w:rPr>
          <w:rFonts w:cs="Times New Roman"/>
        </w:rPr>
        <w:t xml:space="preserve"> deverão ser contempladas no </w:t>
      </w:r>
      <w:r w:rsidR="001534BB" w:rsidRPr="00425C6E">
        <w:rPr>
          <w:rFonts w:cs="Times New Roman"/>
        </w:rPr>
        <w:t>Plano Diretor de Tecnologia da Informação e Comunicação (</w:t>
      </w:r>
      <w:r w:rsidR="0019549B" w:rsidRPr="00425C6E">
        <w:rPr>
          <w:rFonts w:cs="Times New Roman"/>
        </w:rPr>
        <w:t>PDTI</w:t>
      </w:r>
      <w:r w:rsidR="009D51F2" w:rsidRPr="00425C6E">
        <w:rPr>
          <w:rFonts w:cs="Times New Roman"/>
        </w:rPr>
        <w:t>C</w:t>
      </w:r>
      <w:r w:rsidR="001534BB" w:rsidRPr="00425C6E">
        <w:rPr>
          <w:rFonts w:cs="Times New Roman"/>
        </w:rPr>
        <w:t>)</w:t>
      </w:r>
      <w:r w:rsidR="0019549B" w:rsidRPr="00425C6E">
        <w:rPr>
          <w:rFonts w:cs="Times New Roman"/>
        </w:rPr>
        <w:t>, com objetivo de manter a c</w:t>
      </w:r>
      <w:r w:rsidRPr="00425C6E">
        <w:rPr>
          <w:rFonts w:cs="Times New Roman"/>
        </w:rPr>
        <w:t>ontin</w:t>
      </w:r>
      <w:r w:rsidR="0019549B" w:rsidRPr="00425C6E">
        <w:rPr>
          <w:rFonts w:cs="Times New Roman"/>
        </w:rPr>
        <w:t>uidade do</w:t>
      </w:r>
      <w:r w:rsidRPr="00425C6E">
        <w:rPr>
          <w:rFonts w:cs="Times New Roman"/>
        </w:rPr>
        <w:t xml:space="preserve"> trabalho e </w:t>
      </w:r>
      <w:r w:rsidR="009D51F2" w:rsidRPr="00425C6E">
        <w:rPr>
          <w:rFonts w:cs="Times New Roman"/>
        </w:rPr>
        <w:t xml:space="preserve">alinhamento </w:t>
      </w:r>
      <w:r w:rsidR="0019549B" w:rsidRPr="00425C6E">
        <w:rPr>
          <w:rFonts w:cs="Times New Roman"/>
        </w:rPr>
        <w:t>da estratégia.</w:t>
      </w:r>
    </w:p>
    <w:p w14:paraId="5274AB89" w14:textId="1547F834" w:rsidR="003E2622" w:rsidRPr="00425C6E" w:rsidRDefault="00E70600" w:rsidP="00910548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bookmarkStart w:id="2" w:name="_Ref43393481"/>
      <w:bookmarkEnd w:id="1"/>
      <w:r w:rsidRPr="00425C6E">
        <w:rPr>
          <w:rFonts w:cs="Times New Roman"/>
        </w:rPr>
        <w:t xml:space="preserve">Todos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do Poder Judiciário deverão constituir ou manter </w:t>
      </w:r>
      <w:r w:rsidR="00274C47" w:rsidRPr="00425C6E">
        <w:rPr>
          <w:rFonts w:cs="Times New Roman"/>
        </w:rPr>
        <w:t xml:space="preserve">um </w:t>
      </w:r>
      <w:r w:rsidRPr="00425C6E">
        <w:rPr>
          <w:rFonts w:cs="Times New Roman"/>
        </w:rPr>
        <w:t xml:space="preserve">Comitê de Governança de Tecnologia da Informação e Comunicação multidisciplinar, composto por representantes de todas as áreas estratégicas do </w:t>
      </w:r>
      <w:r w:rsidR="00C70AEA" w:rsidRPr="00425C6E">
        <w:rPr>
          <w:rFonts w:cs="Times New Roman"/>
        </w:rPr>
        <w:t>órgão</w:t>
      </w:r>
      <w:r w:rsidR="00272065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e pelo titular da área de Tecnologia da Informação e Comunicação, que ficará responsável por</w:t>
      </w:r>
      <w:r w:rsidR="003E2622" w:rsidRPr="00425C6E">
        <w:rPr>
          <w:rFonts w:cs="Times New Roman"/>
        </w:rPr>
        <w:t>:</w:t>
      </w:r>
      <w:bookmarkEnd w:id="2"/>
    </w:p>
    <w:p w14:paraId="60E58015" w14:textId="5EF9D90B" w:rsidR="003E2622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Apoiar </w:t>
      </w:r>
      <w:r w:rsidR="000B2CFE" w:rsidRPr="00425C6E">
        <w:rPr>
          <w:rFonts w:ascii="Times New Roman" w:hAnsi="Times New Roman" w:cs="Times New Roman"/>
          <w:sz w:val="24"/>
        </w:rPr>
        <w:t xml:space="preserve">o </w:t>
      </w:r>
      <w:r w:rsidR="003E2622" w:rsidRPr="00425C6E">
        <w:rPr>
          <w:rFonts w:ascii="Times New Roman" w:hAnsi="Times New Roman" w:cs="Times New Roman"/>
          <w:sz w:val="24"/>
        </w:rPr>
        <w:t>desenvolvimento e estabelecimento de estratégias, indicadores e metas institucionais;</w:t>
      </w:r>
    </w:p>
    <w:p w14:paraId="5F6F933F" w14:textId="2358D976" w:rsidR="003E2622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Aprovar </w:t>
      </w:r>
      <w:r w:rsidR="00F76E5C" w:rsidRPr="00425C6E">
        <w:rPr>
          <w:rFonts w:ascii="Times New Roman" w:hAnsi="Times New Roman" w:cs="Times New Roman"/>
          <w:sz w:val="24"/>
        </w:rPr>
        <w:t xml:space="preserve">projetos </w:t>
      </w:r>
      <w:r w:rsidR="0094343F" w:rsidRPr="00425C6E">
        <w:rPr>
          <w:rFonts w:ascii="Times New Roman" w:hAnsi="Times New Roman" w:cs="Times New Roman"/>
          <w:sz w:val="24"/>
        </w:rPr>
        <w:t xml:space="preserve">e </w:t>
      </w:r>
      <w:r w:rsidR="00F76E5C" w:rsidRPr="00425C6E">
        <w:rPr>
          <w:rFonts w:ascii="Times New Roman" w:hAnsi="Times New Roman" w:cs="Times New Roman"/>
          <w:sz w:val="24"/>
        </w:rPr>
        <w:t>Planos Estratégicos</w:t>
      </w:r>
      <w:r w:rsidR="003E2622" w:rsidRPr="00425C6E">
        <w:rPr>
          <w:rFonts w:ascii="Times New Roman" w:hAnsi="Times New Roman" w:cs="Times New Roman"/>
          <w:sz w:val="24"/>
        </w:rPr>
        <w:t>;</w:t>
      </w:r>
    </w:p>
    <w:p w14:paraId="6E737B91" w14:textId="3802F881" w:rsidR="005E0D74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Gerir </w:t>
      </w:r>
      <w:r w:rsidR="005E0D74" w:rsidRPr="00425C6E">
        <w:rPr>
          <w:rFonts w:ascii="Times New Roman" w:hAnsi="Times New Roman" w:cs="Times New Roman"/>
          <w:sz w:val="24"/>
        </w:rPr>
        <w:t>os riscos da área de TIC;</w:t>
      </w:r>
    </w:p>
    <w:p w14:paraId="5670CE1F" w14:textId="6D8416CE" w:rsidR="003E2622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Fomentar </w:t>
      </w:r>
      <w:r w:rsidR="003E2622" w:rsidRPr="00425C6E">
        <w:rPr>
          <w:rFonts w:ascii="Times New Roman" w:hAnsi="Times New Roman" w:cs="Times New Roman"/>
          <w:sz w:val="24"/>
        </w:rPr>
        <w:t>a colaboração entre os tribunais;</w:t>
      </w:r>
    </w:p>
    <w:p w14:paraId="40A06D3A" w14:textId="664B2E8D" w:rsidR="003E2622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Orientar </w:t>
      </w:r>
      <w:r w:rsidR="003E2622" w:rsidRPr="00425C6E">
        <w:rPr>
          <w:rFonts w:ascii="Times New Roman" w:hAnsi="Times New Roman" w:cs="Times New Roman"/>
          <w:sz w:val="24"/>
        </w:rPr>
        <w:t xml:space="preserve">quanto à geração de iniciativas para proporcionar </w:t>
      </w:r>
      <w:r w:rsidR="00C55106" w:rsidRPr="00425C6E">
        <w:rPr>
          <w:rFonts w:ascii="Times New Roman" w:hAnsi="Times New Roman" w:cs="Times New Roman"/>
          <w:sz w:val="24"/>
        </w:rPr>
        <w:t xml:space="preserve">investimentos </w:t>
      </w:r>
      <w:r w:rsidR="003E2622" w:rsidRPr="00425C6E">
        <w:rPr>
          <w:rFonts w:ascii="Times New Roman" w:hAnsi="Times New Roman" w:cs="Times New Roman"/>
          <w:sz w:val="24"/>
        </w:rPr>
        <w:t>tecnológicos no âmbito institucional</w:t>
      </w:r>
      <w:r w:rsidR="00AF4655" w:rsidRPr="00425C6E">
        <w:rPr>
          <w:rFonts w:ascii="Times New Roman" w:hAnsi="Times New Roman" w:cs="Times New Roman"/>
          <w:sz w:val="24"/>
        </w:rPr>
        <w:t>;</w:t>
      </w:r>
    </w:p>
    <w:p w14:paraId="658B2E79" w14:textId="6DD22E19" w:rsidR="003E2622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Estimular </w:t>
      </w:r>
      <w:r w:rsidR="003E2622" w:rsidRPr="00425C6E">
        <w:rPr>
          <w:rFonts w:ascii="Times New Roman" w:hAnsi="Times New Roman" w:cs="Times New Roman"/>
          <w:sz w:val="24"/>
        </w:rPr>
        <w:t>o desenvolvimento</w:t>
      </w:r>
      <w:r w:rsidR="00C55106" w:rsidRPr="00425C6E">
        <w:rPr>
          <w:rFonts w:ascii="Times New Roman" w:hAnsi="Times New Roman" w:cs="Times New Roman"/>
          <w:sz w:val="24"/>
        </w:rPr>
        <w:t xml:space="preserve"> colaborativo, integrado e </w:t>
      </w:r>
      <w:r w:rsidR="003E2622" w:rsidRPr="00425C6E">
        <w:rPr>
          <w:rFonts w:ascii="Times New Roman" w:hAnsi="Times New Roman" w:cs="Times New Roman"/>
          <w:sz w:val="24"/>
        </w:rPr>
        <w:t>distribuído</w:t>
      </w:r>
      <w:r w:rsidR="00E70600" w:rsidRPr="00425C6E">
        <w:rPr>
          <w:rFonts w:ascii="Times New Roman" w:hAnsi="Times New Roman" w:cs="Times New Roman"/>
          <w:sz w:val="24"/>
        </w:rPr>
        <w:t xml:space="preserve"> de soluções</w:t>
      </w:r>
      <w:r w:rsidR="00AF4655" w:rsidRPr="00425C6E">
        <w:rPr>
          <w:rFonts w:ascii="Times New Roman" w:hAnsi="Times New Roman" w:cs="Times New Roman"/>
          <w:sz w:val="24"/>
        </w:rPr>
        <w:t>;</w:t>
      </w:r>
    </w:p>
    <w:p w14:paraId="1A5C48B1" w14:textId="1AFD4277" w:rsidR="007D45E9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Estimular </w:t>
      </w:r>
      <w:r w:rsidR="00CE257F" w:rsidRPr="00425C6E">
        <w:rPr>
          <w:rFonts w:ascii="Times New Roman" w:hAnsi="Times New Roman" w:cs="Times New Roman"/>
          <w:sz w:val="24"/>
        </w:rPr>
        <w:t>a p</w:t>
      </w:r>
      <w:r w:rsidR="00D060EE" w:rsidRPr="00425C6E">
        <w:rPr>
          <w:rFonts w:ascii="Times New Roman" w:hAnsi="Times New Roman" w:cs="Times New Roman"/>
          <w:sz w:val="24"/>
        </w:rPr>
        <w:t>articipação</w:t>
      </w:r>
      <w:r w:rsidR="00CE257F" w:rsidRPr="00425C6E">
        <w:rPr>
          <w:rFonts w:ascii="Times New Roman" w:hAnsi="Times New Roman" w:cs="Times New Roman"/>
          <w:sz w:val="24"/>
        </w:rPr>
        <w:t xml:space="preserve"> da administração do </w:t>
      </w:r>
      <w:r w:rsidR="00C70AEA" w:rsidRPr="00425C6E">
        <w:rPr>
          <w:rFonts w:ascii="Times New Roman" w:hAnsi="Times New Roman" w:cs="Times New Roman"/>
          <w:sz w:val="24"/>
        </w:rPr>
        <w:t>órgão</w:t>
      </w:r>
      <w:r w:rsidR="00CE257F" w:rsidRPr="00425C6E">
        <w:rPr>
          <w:rFonts w:ascii="Times New Roman" w:hAnsi="Times New Roman" w:cs="Times New Roman"/>
          <w:sz w:val="24"/>
        </w:rPr>
        <w:t xml:space="preserve"> </w:t>
      </w:r>
      <w:r w:rsidR="00D060EE" w:rsidRPr="00425C6E">
        <w:rPr>
          <w:rFonts w:ascii="Times New Roman" w:hAnsi="Times New Roman" w:cs="Times New Roman"/>
          <w:sz w:val="24"/>
        </w:rPr>
        <w:t>em assuntos</w:t>
      </w:r>
      <w:r w:rsidR="00CE257F" w:rsidRPr="00425C6E">
        <w:rPr>
          <w:rFonts w:ascii="Times New Roman" w:hAnsi="Times New Roman" w:cs="Times New Roman"/>
          <w:sz w:val="24"/>
        </w:rPr>
        <w:t xml:space="preserve"> relacionad</w:t>
      </w:r>
      <w:r w:rsidR="00D060EE" w:rsidRPr="00425C6E">
        <w:rPr>
          <w:rFonts w:ascii="Times New Roman" w:hAnsi="Times New Roman" w:cs="Times New Roman"/>
          <w:sz w:val="24"/>
        </w:rPr>
        <w:t>o</w:t>
      </w:r>
      <w:r w:rsidR="00CE257F" w:rsidRPr="00425C6E">
        <w:rPr>
          <w:rFonts w:ascii="Times New Roman" w:hAnsi="Times New Roman" w:cs="Times New Roman"/>
          <w:sz w:val="24"/>
        </w:rPr>
        <w:t>s à Governança de Tecnologia da Informação e Comunicação;</w:t>
      </w:r>
    </w:p>
    <w:p w14:paraId="19E0FACD" w14:textId="65419417" w:rsidR="002168E3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Promover </w:t>
      </w:r>
      <w:r w:rsidR="0041150F" w:rsidRPr="00425C6E">
        <w:rPr>
          <w:rFonts w:ascii="Times New Roman" w:hAnsi="Times New Roman" w:cs="Times New Roman"/>
          <w:sz w:val="24"/>
        </w:rPr>
        <w:t xml:space="preserve">ações de </w:t>
      </w:r>
      <w:r w:rsidR="00C42270" w:rsidRPr="00425C6E">
        <w:rPr>
          <w:rFonts w:ascii="Times New Roman" w:hAnsi="Times New Roman" w:cs="Times New Roman"/>
          <w:sz w:val="24"/>
        </w:rPr>
        <w:t>transparência, responsabilidade e prestação de conta,</w:t>
      </w:r>
      <w:r w:rsidR="0041150F" w:rsidRPr="00425C6E">
        <w:rPr>
          <w:rFonts w:ascii="Times New Roman" w:hAnsi="Times New Roman" w:cs="Times New Roman"/>
          <w:sz w:val="24"/>
        </w:rPr>
        <w:t xml:space="preserve"> possibilitando um maior controle e acompanhamento da Governança para convergência dos interesses entre Poder Judiciário e a sociedade</w:t>
      </w:r>
      <w:r w:rsidR="00835012" w:rsidRPr="00425C6E">
        <w:rPr>
          <w:rFonts w:ascii="Times New Roman" w:hAnsi="Times New Roman" w:cs="Times New Roman"/>
          <w:sz w:val="24"/>
        </w:rPr>
        <w:t>;</w:t>
      </w:r>
    </w:p>
    <w:p w14:paraId="240476CA" w14:textId="331A3F04" w:rsidR="00FE59B7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Definir </w:t>
      </w:r>
      <w:r w:rsidR="00FE59B7" w:rsidRPr="00425C6E">
        <w:rPr>
          <w:rFonts w:ascii="Times New Roman" w:hAnsi="Times New Roman" w:cs="Times New Roman"/>
          <w:sz w:val="24"/>
        </w:rPr>
        <w:t xml:space="preserve">papéis e responsabilidades das instâncias internas de Governança </w:t>
      </w:r>
      <w:r w:rsidR="005F6F5C" w:rsidRPr="00425C6E">
        <w:rPr>
          <w:rFonts w:ascii="Times New Roman" w:hAnsi="Times New Roman" w:cs="Times New Roman"/>
          <w:sz w:val="24"/>
        </w:rPr>
        <w:t xml:space="preserve">incluindo </w:t>
      </w:r>
      <w:r w:rsidR="00FE59B7" w:rsidRPr="00425C6E">
        <w:rPr>
          <w:rFonts w:ascii="Times New Roman" w:hAnsi="Times New Roman" w:cs="Times New Roman"/>
          <w:sz w:val="24"/>
        </w:rPr>
        <w:t>atividades de tomada de decisão, elaboração, implementação e revisão de diretrizes, monitoramento e controle</w:t>
      </w:r>
      <w:r w:rsidR="005F6F5C" w:rsidRPr="00425C6E">
        <w:rPr>
          <w:rFonts w:ascii="Times New Roman" w:hAnsi="Times New Roman" w:cs="Times New Roman"/>
          <w:sz w:val="24"/>
        </w:rPr>
        <w:t>;</w:t>
      </w:r>
    </w:p>
    <w:p w14:paraId="65ADB5B3" w14:textId="046673BB" w:rsidR="005F6F5C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Recomendar </w:t>
      </w:r>
      <w:r w:rsidR="002F3F56" w:rsidRPr="00425C6E">
        <w:rPr>
          <w:rFonts w:ascii="Times New Roman" w:hAnsi="Times New Roman" w:cs="Times New Roman"/>
          <w:sz w:val="24"/>
        </w:rPr>
        <w:t xml:space="preserve">e acompanhar a adoção de </w:t>
      </w:r>
      <w:r w:rsidR="00AA0298" w:rsidRPr="00425C6E">
        <w:rPr>
          <w:rFonts w:ascii="Times New Roman" w:hAnsi="Times New Roman" w:cs="Times New Roman"/>
          <w:sz w:val="24"/>
        </w:rPr>
        <w:t xml:space="preserve">boas </w:t>
      </w:r>
      <w:r w:rsidR="002F3F56" w:rsidRPr="00425C6E">
        <w:rPr>
          <w:rFonts w:ascii="Times New Roman" w:hAnsi="Times New Roman" w:cs="Times New Roman"/>
          <w:sz w:val="24"/>
        </w:rPr>
        <w:t xml:space="preserve">práticas </w:t>
      </w:r>
      <w:r w:rsidR="00AA0298" w:rsidRPr="00425C6E">
        <w:rPr>
          <w:rFonts w:ascii="Times New Roman" w:hAnsi="Times New Roman" w:cs="Times New Roman"/>
          <w:sz w:val="24"/>
        </w:rPr>
        <w:t xml:space="preserve">de </w:t>
      </w:r>
      <w:r w:rsidR="002F3F56" w:rsidRPr="00425C6E">
        <w:rPr>
          <w:rFonts w:ascii="Times New Roman" w:hAnsi="Times New Roman" w:cs="Times New Roman"/>
          <w:sz w:val="24"/>
        </w:rPr>
        <w:t>Governança</w:t>
      </w:r>
      <w:r w:rsidR="00AA0298" w:rsidRPr="00425C6E">
        <w:rPr>
          <w:rFonts w:ascii="Times New Roman" w:hAnsi="Times New Roman" w:cs="Times New Roman"/>
          <w:sz w:val="24"/>
        </w:rPr>
        <w:t xml:space="preserve"> de TIC</w:t>
      </w:r>
      <w:r w:rsidR="002F3F56" w:rsidRPr="00425C6E">
        <w:rPr>
          <w:rFonts w:ascii="Times New Roman" w:hAnsi="Times New Roman" w:cs="Times New Roman"/>
          <w:sz w:val="24"/>
        </w:rPr>
        <w:t xml:space="preserve">, assim como a eficácia de seus processos, propondo atualizações e melhorias quando </w:t>
      </w:r>
      <w:r w:rsidR="00D63AA1" w:rsidRPr="00425C6E">
        <w:rPr>
          <w:rFonts w:ascii="Times New Roman" w:hAnsi="Times New Roman" w:cs="Times New Roman"/>
          <w:sz w:val="24"/>
        </w:rPr>
        <w:t>necessário;</w:t>
      </w:r>
    </w:p>
    <w:p w14:paraId="0578FF44" w14:textId="2BF8E618" w:rsidR="002F3F56" w:rsidRPr="00425C6E" w:rsidRDefault="00EF1C68" w:rsidP="007B1674">
      <w:pPr>
        <w:pStyle w:val="PargrafodaLista"/>
        <w:numPr>
          <w:ilvl w:val="0"/>
          <w:numId w:val="2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Estabelecer </w:t>
      </w:r>
      <w:r w:rsidR="00AA0298" w:rsidRPr="00425C6E">
        <w:rPr>
          <w:rFonts w:ascii="Times New Roman" w:hAnsi="Times New Roman" w:cs="Times New Roman"/>
          <w:sz w:val="24"/>
        </w:rPr>
        <w:t xml:space="preserve">os canais e processos para interação entre </w:t>
      </w:r>
      <w:r w:rsidR="008508D1" w:rsidRPr="00425C6E">
        <w:rPr>
          <w:rFonts w:ascii="Times New Roman" w:hAnsi="Times New Roman" w:cs="Times New Roman"/>
          <w:sz w:val="24"/>
        </w:rPr>
        <w:t>a área de TIC e a Administração do órgão</w:t>
      </w:r>
      <w:r w:rsidR="00AA0298" w:rsidRPr="00425C6E">
        <w:rPr>
          <w:rFonts w:ascii="Times New Roman" w:hAnsi="Times New Roman" w:cs="Times New Roman"/>
          <w:sz w:val="24"/>
        </w:rPr>
        <w:t>, especialmente no que tange às questões de estratégia</w:t>
      </w:r>
      <w:r w:rsidR="008508D1" w:rsidRPr="00425C6E">
        <w:rPr>
          <w:rFonts w:ascii="Times New Roman" w:hAnsi="Times New Roman" w:cs="Times New Roman"/>
          <w:sz w:val="24"/>
        </w:rPr>
        <w:t xml:space="preserve"> e</w:t>
      </w:r>
      <w:r w:rsidR="00AA0298" w:rsidRPr="00425C6E">
        <w:rPr>
          <w:rFonts w:ascii="Times New Roman" w:hAnsi="Times New Roman" w:cs="Times New Roman"/>
          <w:sz w:val="24"/>
        </w:rPr>
        <w:t xml:space="preserve"> </w:t>
      </w:r>
      <w:r w:rsidR="0068630B" w:rsidRPr="00425C6E">
        <w:rPr>
          <w:rFonts w:ascii="Times New Roman" w:hAnsi="Times New Roman" w:cs="Times New Roman"/>
          <w:sz w:val="24"/>
        </w:rPr>
        <w:t>G</w:t>
      </w:r>
      <w:r w:rsidR="00AA0298" w:rsidRPr="00425C6E">
        <w:rPr>
          <w:rFonts w:ascii="Times New Roman" w:hAnsi="Times New Roman" w:cs="Times New Roman"/>
          <w:sz w:val="24"/>
        </w:rPr>
        <w:t>overnança</w:t>
      </w:r>
      <w:r w:rsidR="0098049E" w:rsidRPr="00425C6E">
        <w:rPr>
          <w:rFonts w:ascii="Times New Roman" w:hAnsi="Times New Roman" w:cs="Times New Roman"/>
          <w:sz w:val="24"/>
        </w:rPr>
        <w:t>.</w:t>
      </w:r>
    </w:p>
    <w:p w14:paraId="49FF6020" w14:textId="3D9E1F75" w:rsidR="00FC4E8F" w:rsidRPr="00425C6E" w:rsidRDefault="005D45EA" w:rsidP="00910548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As áreas de TIC de todos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do Poder Judiciário deverão constituir ou manter Comitê de Gestão de Tecnologia da Informação e Comunicação</w:t>
      </w:r>
      <w:r w:rsidR="00F93CE3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</w:t>
      </w:r>
      <w:r w:rsidR="00AE3182" w:rsidRPr="00425C6E">
        <w:rPr>
          <w:rFonts w:cs="Times New Roman"/>
        </w:rPr>
        <w:t>coordenado</w:t>
      </w:r>
      <w:r w:rsidRPr="00425C6E">
        <w:rPr>
          <w:rFonts w:cs="Times New Roman"/>
        </w:rPr>
        <w:t xml:space="preserve"> pelo titular da área de TIC</w:t>
      </w:r>
      <w:r w:rsidR="00B46CD1" w:rsidRPr="00425C6E">
        <w:rPr>
          <w:rFonts w:cs="Times New Roman"/>
        </w:rPr>
        <w:t xml:space="preserve">. </w:t>
      </w:r>
      <w:r w:rsidR="00AE66E6" w:rsidRPr="00425C6E">
        <w:rPr>
          <w:rFonts w:cs="Times New Roman"/>
        </w:rPr>
        <w:t>Serão atribuições do comitê</w:t>
      </w:r>
      <w:r w:rsidRPr="00425C6E">
        <w:rPr>
          <w:rFonts w:cs="Times New Roman"/>
        </w:rPr>
        <w:t>:</w:t>
      </w:r>
    </w:p>
    <w:p w14:paraId="7F3CF596" w14:textId="42F1C33E" w:rsidR="00F93CE3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Envolver </w:t>
      </w:r>
      <w:r w:rsidR="00F93CE3" w:rsidRPr="00425C6E">
        <w:rPr>
          <w:rFonts w:ascii="Times New Roman" w:hAnsi="Times New Roman" w:cs="Times New Roman"/>
          <w:sz w:val="24"/>
        </w:rPr>
        <w:t xml:space="preserve">a alta administração nas decisões estratégicas que incidem sobre os serviços de TIC; </w:t>
      </w:r>
    </w:p>
    <w:p w14:paraId="6E48C8F5" w14:textId="454130B7" w:rsidR="00F93CE3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Aprovar </w:t>
      </w:r>
      <w:r w:rsidR="00F93CE3" w:rsidRPr="00425C6E">
        <w:rPr>
          <w:rFonts w:ascii="Times New Roman" w:hAnsi="Times New Roman" w:cs="Times New Roman"/>
          <w:sz w:val="24"/>
        </w:rPr>
        <w:t>planos táticos e operacionais junto a alta administração, disseminando a importância da área de TIC nos tribunais;</w:t>
      </w:r>
    </w:p>
    <w:p w14:paraId="4D37B5B1" w14:textId="44E82C03" w:rsidR="009B42FD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Monitorar </w:t>
      </w:r>
      <w:r w:rsidR="009B42FD" w:rsidRPr="00425C6E">
        <w:rPr>
          <w:rFonts w:ascii="Times New Roman" w:hAnsi="Times New Roman" w:cs="Times New Roman"/>
          <w:sz w:val="24"/>
        </w:rPr>
        <w:t xml:space="preserve">a execução orçamentária e financeira de TIC; </w:t>
      </w:r>
    </w:p>
    <w:p w14:paraId="671883E0" w14:textId="3E0B3008" w:rsidR="00D0737E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Planejar</w:t>
      </w:r>
      <w:r w:rsidR="000237BF" w:rsidRPr="00425C6E">
        <w:rPr>
          <w:rFonts w:ascii="Times New Roman" w:hAnsi="Times New Roman" w:cs="Times New Roman"/>
          <w:sz w:val="24"/>
        </w:rPr>
        <w:t>, priorizar e monitorar</w:t>
      </w:r>
      <w:r w:rsidR="00D0737E" w:rsidRPr="00425C6E">
        <w:rPr>
          <w:rFonts w:ascii="Times New Roman" w:hAnsi="Times New Roman" w:cs="Times New Roman"/>
          <w:sz w:val="24"/>
        </w:rPr>
        <w:t xml:space="preserve"> as contratações de TIC;</w:t>
      </w:r>
    </w:p>
    <w:p w14:paraId="33AC6EBE" w14:textId="4D86C598" w:rsidR="00D0737E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Acompanhar </w:t>
      </w:r>
      <w:r w:rsidR="00D0737E" w:rsidRPr="00425C6E">
        <w:rPr>
          <w:rFonts w:ascii="Times New Roman" w:hAnsi="Times New Roman" w:cs="Times New Roman"/>
          <w:sz w:val="24"/>
        </w:rPr>
        <w:t>o andamento das iniciativas estratégicas bem como seus desdobramentos;</w:t>
      </w:r>
    </w:p>
    <w:p w14:paraId="651788FC" w14:textId="1A9B35F3" w:rsidR="00FC4E8F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Apoiar </w:t>
      </w:r>
      <w:r w:rsidR="00F93CE3" w:rsidRPr="00425C6E">
        <w:rPr>
          <w:rFonts w:ascii="Times New Roman" w:hAnsi="Times New Roman" w:cs="Times New Roman"/>
          <w:sz w:val="24"/>
        </w:rPr>
        <w:t xml:space="preserve">na </w:t>
      </w:r>
      <w:r w:rsidR="005D45EA" w:rsidRPr="00425C6E">
        <w:rPr>
          <w:rFonts w:ascii="Times New Roman" w:hAnsi="Times New Roman" w:cs="Times New Roman"/>
          <w:sz w:val="24"/>
        </w:rPr>
        <w:t>estrutura</w:t>
      </w:r>
      <w:r w:rsidR="00F93CE3" w:rsidRPr="00425C6E">
        <w:rPr>
          <w:rFonts w:ascii="Times New Roman" w:hAnsi="Times New Roman" w:cs="Times New Roman"/>
          <w:sz w:val="24"/>
        </w:rPr>
        <w:t xml:space="preserve">ção de </w:t>
      </w:r>
      <w:r w:rsidR="005D45EA" w:rsidRPr="00425C6E">
        <w:rPr>
          <w:rFonts w:ascii="Times New Roman" w:hAnsi="Times New Roman" w:cs="Times New Roman"/>
          <w:sz w:val="24"/>
        </w:rPr>
        <w:t xml:space="preserve">Escritório de Projetos que favoreça o emprego das melhores práticas de gestão de projetos preconizadas pelos padrões nacionais e internacionais; </w:t>
      </w:r>
    </w:p>
    <w:p w14:paraId="5649FD88" w14:textId="4F467601" w:rsidR="001472A4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Definir </w:t>
      </w:r>
      <w:r w:rsidR="0055793D" w:rsidRPr="00425C6E">
        <w:rPr>
          <w:rFonts w:ascii="Times New Roman" w:hAnsi="Times New Roman" w:cs="Times New Roman"/>
          <w:sz w:val="24"/>
        </w:rPr>
        <w:t>a</w:t>
      </w:r>
      <w:r w:rsidR="001472A4" w:rsidRPr="00425C6E">
        <w:rPr>
          <w:rFonts w:ascii="Times New Roman" w:hAnsi="Times New Roman" w:cs="Times New Roman"/>
          <w:sz w:val="24"/>
        </w:rPr>
        <w:t xml:space="preserve"> carteira de projetos e a gestão de </w:t>
      </w:r>
      <w:r w:rsidR="0055793D" w:rsidRPr="00425C6E">
        <w:rPr>
          <w:rFonts w:ascii="Times New Roman" w:hAnsi="Times New Roman" w:cs="Times New Roman"/>
          <w:sz w:val="24"/>
        </w:rPr>
        <w:t>portfólio</w:t>
      </w:r>
      <w:r w:rsidR="001472A4" w:rsidRPr="00425C6E">
        <w:rPr>
          <w:rFonts w:ascii="Times New Roman" w:hAnsi="Times New Roman" w:cs="Times New Roman"/>
          <w:sz w:val="24"/>
        </w:rPr>
        <w:t xml:space="preserve"> de serviços de TIC</w:t>
      </w:r>
      <w:r w:rsidR="0055793D" w:rsidRPr="00425C6E">
        <w:rPr>
          <w:rFonts w:ascii="Times New Roman" w:hAnsi="Times New Roman" w:cs="Times New Roman"/>
          <w:sz w:val="24"/>
        </w:rPr>
        <w:t>;</w:t>
      </w:r>
    </w:p>
    <w:p w14:paraId="2AD45F32" w14:textId="2A04C527" w:rsidR="007837FF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Estabelecer </w:t>
      </w:r>
      <w:r w:rsidR="00FC4E8F" w:rsidRPr="00425C6E">
        <w:rPr>
          <w:rFonts w:ascii="Times New Roman" w:hAnsi="Times New Roman" w:cs="Times New Roman"/>
          <w:sz w:val="24"/>
        </w:rPr>
        <w:t>plano de ação</w:t>
      </w:r>
      <w:r w:rsidR="00162EC1" w:rsidRPr="00425C6E">
        <w:rPr>
          <w:rFonts w:ascii="Times New Roman" w:hAnsi="Times New Roman" w:cs="Times New Roman"/>
          <w:sz w:val="24"/>
        </w:rPr>
        <w:t xml:space="preserve"> para iniciativas de curta duração ou escopo simplificado</w:t>
      </w:r>
      <w:r w:rsidR="00AF4655" w:rsidRPr="00425C6E">
        <w:rPr>
          <w:rFonts w:ascii="Times New Roman" w:hAnsi="Times New Roman" w:cs="Times New Roman"/>
          <w:sz w:val="24"/>
        </w:rPr>
        <w:t>;</w:t>
      </w:r>
    </w:p>
    <w:p w14:paraId="3054BA1C" w14:textId="307CEE90" w:rsidR="007837FF" w:rsidRPr="00425C6E" w:rsidRDefault="007837FF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 </w:t>
      </w:r>
      <w:r w:rsidR="00EF1C68" w:rsidRPr="00425C6E">
        <w:rPr>
          <w:rFonts w:ascii="Times New Roman" w:hAnsi="Times New Roman" w:cs="Times New Roman"/>
          <w:sz w:val="24"/>
        </w:rPr>
        <w:t xml:space="preserve">Promover </w:t>
      </w:r>
      <w:r w:rsidRPr="00425C6E">
        <w:rPr>
          <w:rFonts w:ascii="Times New Roman" w:hAnsi="Times New Roman" w:cs="Times New Roman"/>
          <w:sz w:val="24"/>
        </w:rPr>
        <w:t>recomendações e a adoção de boas práticas;</w:t>
      </w:r>
    </w:p>
    <w:p w14:paraId="13E76776" w14:textId="6FA7A104" w:rsidR="005E0D74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Propor </w:t>
      </w:r>
      <w:r w:rsidR="007837FF" w:rsidRPr="00425C6E">
        <w:rPr>
          <w:rFonts w:ascii="Times New Roman" w:hAnsi="Times New Roman" w:cs="Times New Roman"/>
          <w:sz w:val="24"/>
        </w:rPr>
        <w:t>modelos e padrões referentes à Governança de Tecnologia da Informação e Comunicação por meio de campanhas institucionais;</w:t>
      </w:r>
    </w:p>
    <w:p w14:paraId="63DFBDEC" w14:textId="7AB7F148" w:rsidR="005D45EA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Promover </w:t>
      </w:r>
      <w:r w:rsidR="005D45EA" w:rsidRPr="00425C6E">
        <w:rPr>
          <w:rFonts w:ascii="Times New Roman" w:hAnsi="Times New Roman" w:cs="Times New Roman"/>
          <w:sz w:val="24"/>
        </w:rPr>
        <w:t>a participação coletiva na elaboração de propostas e admissão de projetos;</w:t>
      </w:r>
    </w:p>
    <w:p w14:paraId="7DB8040B" w14:textId="6FD52472" w:rsidR="005D45EA" w:rsidRPr="00425C6E" w:rsidRDefault="00EF1C68" w:rsidP="007B1674">
      <w:pPr>
        <w:pStyle w:val="PargrafodaLista"/>
        <w:numPr>
          <w:ilvl w:val="0"/>
          <w:numId w:val="24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Analisar</w:t>
      </w:r>
      <w:r w:rsidR="005D45EA" w:rsidRPr="00425C6E">
        <w:rPr>
          <w:rFonts w:ascii="Times New Roman" w:hAnsi="Times New Roman" w:cs="Times New Roman"/>
          <w:sz w:val="24"/>
        </w:rPr>
        <w:t>, organizar e estruturar o atendimento das demandas de TIC</w:t>
      </w:r>
      <w:r w:rsidR="00AD6E6A" w:rsidRPr="00425C6E">
        <w:rPr>
          <w:rFonts w:ascii="Times New Roman" w:hAnsi="Times New Roman" w:cs="Times New Roman"/>
          <w:sz w:val="24"/>
        </w:rPr>
        <w:t>.</w:t>
      </w:r>
    </w:p>
    <w:p w14:paraId="322880AF" w14:textId="091781C0" w:rsidR="00C02EDD" w:rsidRPr="00425C6E" w:rsidRDefault="00C02EDD" w:rsidP="00CD1D22">
      <w:pPr>
        <w:pStyle w:val="Numeraoartigo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As aquisições de bens e contratação de serviços de TIC deverão</w:t>
      </w:r>
      <w:r w:rsidR="000C6931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atender às determinações do </w:t>
      </w:r>
      <w:r w:rsidR="009379A6" w:rsidRPr="00425C6E">
        <w:rPr>
          <w:rFonts w:cs="Times New Roman"/>
        </w:rPr>
        <w:t>Conselho Nacional de Justiça (</w:t>
      </w:r>
      <w:r w:rsidR="00F76E5C" w:rsidRPr="00425C6E">
        <w:rPr>
          <w:rFonts w:cs="Times New Roman"/>
        </w:rPr>
        <w:t>CNJ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>.</w:t>
      </w:r>
    </w:p>
    <w:p w14:paraId="6D52F305" w14:textId="6672075C" w:rsidR="00EF2269" w:rsidRPr="00425C6E" w:rsidRDefault="00EF2269" w:rsidP="007B1674">
      <w:pPr>
        <w:pStyle w:val="Artigopargrafos"/>
        <w:numPr>
          <w:ilvl w:val="0"/>
          <w:numId w:val="29"/>
        </w:numPr>
        <w:ind w:left="0" w:firstLine="1277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9379A6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manterá </w:t>
      </w:r>
      <w:r w:rsidR="00BB37B9" w:rsidRPr="00425C6E">
        <w:rPr>
          <w:rFonts w:cs="Times New Roman"/>
        </w:rPr>
        <w:t xml:space="preserve">repositório nacional </w:t>
      </w:r>
      <w:r w:rsidRPr="00425C6E">
        <w:rPr>
          <w:rFonts w:cs="Times New Roman"/>
        </w:rPr>
        <w:t xml:space="preserve">disponível a todos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do Poder Judiciário com os editais de licitação, lista de fornecedores por tema de aquisição e contratos de aquisição de bens e contratação de serviços de Tecnologia da Informação e Comunicação</w:t>
      </w:r>
      <w:r w:rsidR="00FB645D" w:rsidRPr="00425C6E">
        <w:rPr>
          <w:rFonts w:cs="Times New Roman"/>
        </w:rPr>
        <w:t xml:space="preserve"> (TIC)</w:t>
      </w:r>
      <w:r w:rsidR="00FE35BE" w:rsidRPr="00425C6E">
        <w:rPr>
          <w:rFonts w:cs="Times New Roman"/>
        </w:rPr>
        <w:t>.</w:t>
      </w:r>
    </w:p>
    <w:p w14:paraId="26492CB1" w14:textId="5C773346" w:rsidR="000F2548" w:rsidRPr="00425C6E" w:rsidRDefault="000F2548" w:rsidP="007B1674">
      <w:pPr>
        <w:pStyle w:val="Artigopargrafos"/>
        <w:numPr>
          <w:ilvl w:val="0"/>
          <w:numId w:val="29"/>
        </w:numPr>
        <w:ind w:left="0" w:firstLine="1277"/>
        <w:rPr>
          <w:rFonts w:cs="Times New Roman"/>
        </w:rPr>
      </w:pPr>
      <w:r w:rsidRPr="00425C6E">
        <w:rPr>
          <w:rFonts w:cs="Times New Roman"/>
        </w:rPr>
        <w:t>Cada órgão deverá disponibilizar junto ao repositório nacional os seus editais, contratos e anexos, assim que homologados em seus órgãos.</w:t>
      </w:r>
    </w:p>
    <w:p w14:paraId="027DA754" w14:textId="36BEA85B" w:rsidR="00271F62" w:rsidRPr="00425C6E" w:rsidRDefault="00271F62" w:rsidP="005E0D74">
      <w:pPr>
        <w:pStyle w:val="Numeraoartigo2"/>
        <w:ind w:left="0" w:firstLine="1134"/>
        <w:rPr>
          <w:rFonts w:cs="Times New Roman"/>
        </w:rPr>
      </w:pPr>
      <w:r w:rsidRPr="00425C6E">
        <w:rPr>
          <w:rFonts w:cs="Times New Roman"/>
        </w:rPr>
        <w:t>Para o fortalecimento da comunicação entre os entes do Poder Judiciário deverão ser realizadas ações</w:t>
      </w:r>
      <w:r w:rsidR="00BD167A" w:rsidRPr="00425C6E">
        <w:rPr>
          <w:rFonts w:cs="Times New Roman"/>
        </w:rPr>
        <w:t xml:space="preserve"> junto ao </w:t>
      </w:r>
      <w:r w:rsidR="00343B35" w:rsidRPr="00425C6E">
        <w:rPr>
          <w:rFonts w:cs="Times New Roman"/>
        </w:rPr>
        <w:t xml:space="preserve">repositório nacional </w:t>
      </w:r>
      <w:r w:rsidRPr="00425C6E">
        <w:rPr>
          <w:rFonts w:cs="Times New Roman"/>
        </w:rPr>
        <w:t>para:</w:t>
      </w:r>
    </w:p>
    <w:p w14:paraId="2988FAC3" w14:textId="719EE9D5" w:rsidR="00271F62" w:rsidRPr="00425C6E" w:rsidRDefault="00EF1C68" w:rsidP="007B1674">
      <w:pPr>
        <w:pStyle w:val="PargrafodaLista"/>
        <w:numPr>
          <w:ilvl w:val="0"/>
          <w:numId w:val="25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Disseminar </w:t>
      </w:r>
      <w:r w:rsidR="00271F62" w:rsidRPr="00425C6E">
        <w:rPr>
          <w:rFonts w:ascii="Times New Roman" w:hAnsi="Times New Roman" w:cs="Times New Roman"/>
          <w:sz w:val="24"/>
        </w:rPr>
        <w:t xml:space="preserve">a cultura e valor da área de TIC nos </w:t>
      </w:r>
      <w:r w:rsidR="00C70AEA" w:rsidRPr="00425C6E">
        <w:rPr>
          <w:rFonts w:ascii="Times New Roman" w:hAnsi="Times New Roman" w:cs="Times New Roman"/>
          <w:sz w:val="24"/>
        </w:rPr>
        <w:t>órgãos</w:t>
      </w:r>
      <w:r w:rsidR="00271F62" w:rsidRPr="00425C6E">
        <w:rPr>
          <w:rFonts w:ascii="Times New Roman" w:hAnsi="Times New Roman" w:cs="Times New Roman"/>
          <w:sz w:val="24"/>
        </w:rPr>
        <w:t>;</w:t>
      </w:r>
    </w:p>
    <w:p w14:paraId="0708DBFE" w14:textId="03881CCF" w:rsidR="00271F62" w:rsidRPr="00425C6E" w:rsidRDefault="00EF1C68" w:rsidP="007B1674">
      <w:pPr>
        <w:pStyle w:val="PargrafodaLista"/>
        <w:numPr>
          <w:ilvl w:val="0"/>
          <w:numId w:val="25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Semear </w:t>
      </w:r>
      <w:r w:rsidR="00271F62" w:rsidRPr="00425C6E">
        <w:rPr>
          <w:rFonts w:ascii="Times New Roman" w:hAnsi="Times New Roman" w:cs="Times New Roman"/>
          <w:sz w:val="24"/>
        </w:rPr>
        <w:t>a importância do uso de tecnologias no dia a dia</w:t>
      </w:r>
      <w:r w:rsidR="000553AA" w:rsidRPr="00425C6E">
        <w:rPr>
          <w:rFonts w:ascii="Times New Roman" w:hAnsi="Times New Roman" w:cs="Times New Roman"/>
          <w:sz w:val="24"/>
        </w:rPr>
        <w:t>;</w:t>
      </w:r>
    </w:p>
    <w:p w14:paraId="19BD3BD1" w14:textId="1E278F6B" w:rsidR="00046705" w:rsidRPr="00425C6E" w:rsidRDefault="00EF1C68" w:rsidP="007B1674">
      <w:pPr>
        <w:pStyle w:val="PargrafodaLista"/>
        <w:numPr>
          <w:ilvl w:val="0"/>
          <w:numId w:val="25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Colaborar </w:t>
      </w:r>
      <w:r w:rsidR="00170766" w:rsidRPr="00425C6E">
        <w:rPr>
          <w:rFonts w:ascii="Times New Roman" w:hAnsi="Times New Roman" w:cs="Times New Roman"/>
          <w:sz w:val="24"/>
        </w:rPr>
        <w:t xml:space="preserve">e disseminar </w:t>
      </w:r>
      <w:r w:rsidR="00046705" w:rsidRPr="00425C6E">
        <w:rPr>
          <w:rFonts w:ascii="Times New Roman" w:hAnsi="Times New Roman" w:cs="Times New Roman"/>
          <w:sz w:val="24"/>
        </w:rPr>
        <w:t>de boas práticas das iniciativas de TIC</w:t>
      </w:r>
      <w:r w:rsidR="0000174D" w:rsidRPr="00425C6E">
        <w:rPr>
          <w:rFonts w:ascii="Times New Roman" w:hAnsi="Times New Roman" w:cs="Times New Roman"/>
          <w:sz w:val="24"/>
        </w:rPr>
        <w:t xml:space="preserve"> nos órgãos</w:t>
      </w:r>
      <w:r w:rsidR="00046705" w:rsidRPr="00425C6E">
        <w:rPr>
          <w:rFonts w:ascii="Times New Roman" w:hAnsi="Times New Roman" w:cs="Times New Roman"/>
          <w:sz w:val="24"/>
        </w:rPr>
        <w:t>;</w:t>
      </w:r>
    </w:p>
    <w:p w14:paraId="0DCCC026" w14:textId="57ABFAEB" w:rsidR="00A01766" w:rsidRPr="00425C6E" w:rsidRDefault="00EF1C68" w:rsidP="007B1674">
      <w:pPr>
        <w:pStyle w:val="PargrafodaLista"/>
        <w:numPr>
          <w:ilvl w:val="0"/>
          <w:numId w:val="25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sz w:val="24"/>
          <w:szCs w:val="24"/>
        </w:rPr>
        <w:t xml:space="preserve">Divulgar </w:t>
      </w:r>
      <w:r w:rsidR="000C4F44" w:rsidRPr="00425C6E">
        <w:rPr>
          <w:rFonts w:ascii="Times New Roman" w:hAnsi="Times New Roman" w:cs="Times New Roman"/>
          <w:sz w:val="24"/>
          <w:szCs w:val="24"/>
        </w:rPr>
        <w:t>as principais entregas</w:t>
      </w:r>
      <w:r w:rsidR="4BB89753" w:rsidRPr="00425C6E">
        <w:rPr>
          <w:rFonts w:ascii="Times New Roman" w:hAnsi="Times New Roman" w:cs="Times New Roman"/>
          <w:sz w:val="24"/>
          <w:szCs w:val="24"/>
        </w:rPr>
        <w:t>,</w:t>
      </w:r>
      <w:r w:rsidR="000C4F44" w:rsidRPr="00425C6E">
        <w:rPr>
          <w:rFonts w:ascii="Times New Roman" w:hAnsi="Times New Roman" w:cs="Times New Roman"/>
          <w:sz w:val="24"/>
          <w:szCs w:val="24"/>
        </w:rPr>
        <w:t xml:space="preserve"> avanços e realizações da área de TI</w:t>
      </w:r>
      <w:r w:rsidR="00046705" w:rsidRPr="00425C6E">
        <w:rPr>
          <w:rFonts w:ascii="Times New Roman" w:hAnsi="Times New Roman" w:cs="Times New Roman"/>
          <w:sz w:val="24"/>
          <w:szCs w:val="24"/>
        </w:rPr>
        <w:t>C</w:t>
      </w:r>
      <w:r w:rsidR="000C4F44" w:rsidRPr="00425C6E">
        <w:rPr>
          <w:rFonts w:ascii="Times New Roman" w:hAnsi="Times New Roman" w:cs="Times New Roman"/>
          <w:sz w:val="24"/>
          <w:szCs w:val="24"/>
        </w:rPr>
        <w:t>.</w:t>
      </w:r>
    </w:p>
    <w:p w14:paraId="29EF88A9" w14:textId="77777777" w:rsidR="00D53539" w:rsidRPr="00425C6E" w:rsidRDefault="00D53539" w:rsidP="00D53539">
      <w:pPr>
        <w:pStyle w:val="PargrafodaLista"/>
        <w:tabs>
          <w:tab w:val="left" w:pos="1701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F18A2D7" w14:textId="13992F67" w:rsidR="006F3217" w:rsidRPr="00425C6E" w:rsidRDefault="00E50BE9" w:rsidP="006F3217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6F3217" w:rsidRPr="00425C6E">
        <w:rPr>
          <w:rFonts w:ascii="Times New Roman" w:hAnsi="Times New Roman" w:cs="Times New Roman"/>
          <w:b/>
          <w:bCs/>
          <w:sz w:val="24"/>
        </w:rPr>
        <w:t>II</w:t>
      </w:r>
    </w:p>
    <w:p w14:paraId="43FC3F63" w14:textId="1547554D" w:rsidR="006F3217" w:rsidRPr="00425C6E" w:rsidRDefault="009379A6" w:rsidP="006F3217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Índice de Governança de Tecnologia da Informação e Comunicação (</w:t>
      </w:r>
      <w:proofErr w:type="spellStart"/>
      <w:r w:rsidR="006F3217" w:rsidRPr="00425C6E">
        <w:rPr>
          <w:rFonts w:ascii="Times New Roman" w:hAnsi="Times New Roman" w:cs="Times New Roman"/>
          <w:b/>
          <w:bCs/>
          <w:sz w:val="24"/>
        </w:rPr>
        <w:t>iGovTIC</w:t>
      </w:r>
      <w:proofErr w:type="spellEnd"/>
      <w:r w:rsidR="006F3217" w:rsidRPr="00425C6E">
        <w:rPr>
          <w:rFonts w:ascii="Times New Roman" w:hAnsi="Times New Roman" w:cs="Times New Roman"/>
          <w:b/>
          <w:bCs/>
          <w:sz w:val="24"/>
        </w:rPr>
        <w:t>-JUD</w:t>
      </w:r>
      <w:r w:rsidRPr="00425C6E">
        <w:rPr>
          <w:rFonts w:ascii="Times New Roman" w:hAnsi="Times New Roman" w:cs="Times New Roman"/>
          <w:b/>
          <w:bCs/>
          <w:sz w:val="24"/>
        </w:rPr>
        <w:t>)</w:t>
      </w:r>
    </w:p>
    <w:p w14:paraId="61E20102" w14:textId="77777777" w:rsidR="009379A6" w:rsidRPr="00425C6E" w:rsidRDefault="009379A6" w:rsidP="006F3217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4687F145" w14:textId="4FCED181" w:rsidR="00CA1326" w:rsidRPr="00425C6E" w:rsidRDefault="00CA1326" w:rsidP="00F82C08">
      <w:pPr>
        <w:pStyle w:val="Numeraoartigo2"/>
        <w:ind w:left="0" w:firstLine="1135"/>
        <w:rPr>
          <w:rFonts w:cs="Times New Roman"/>
        </w:rPr>
      </w:pPr>
      <w:r w:rsidRPr="00425C6E">
        <w:rPr>
          <w:rFonts w:cs="Times New Roman"/>
        </w:rPr>
        <w:t>Será aplicado periodicamente o</w:t>
      </w:r>
      <w:r w:rsidR="00F76405" w:rsidRPr="00425C6E">
        <w:rPr>
          <w:rFonts w:cs="Times New Roman"/>
        </w:rPr>
        <w:t xml:space="preserve"> </w:t>
      </w:r>
      <w:r w:rsidR="000A0BD4" w:rsidRPr="00425C6E">
        <w:rPr>
          <w:rFonts w:cs="Times New Roman"/>
        </w:rPr>
        <w:t>Índice</w:t>
      </w:r>
      <w:r w:rsidR="009A501C" w:rsidRPr="00425C6E">
        <w:rPr>
          <w:rFonts w:cs="Times New Roman"/>
        </w:rPr>
        <w:t xml:space="preserve"> </w:t>
      </w:r>
      <w:r w:rsidR="00F76405" w:rsidRPr="00425C6E">
        <w:rPr>
          <w:rFonts w:cs="Times New Roman"/>
        </w:rPr>
        <w:t>de Governança, Gestão e Infraestrutura de Tecnologia da Informação e Comunicação do Poder Judiciário</w:t>
      </w:r>
      <w:r w:rsidR="009379A6" w:rsidRPr="00425C6E">
        <w:rPr>
          <w:rFonts w:cs="Times New Roman"/>
        </w:rPr>
        <w:t xml:space="preserve"> (</w:t>
      </w:r>
      <w:proofErr w:type="spellStart"/>
      <w:r w:rsidR="003646B3" w:rsidRPr="00425C6E">
        <w:rPr>
          <w:rFonts w:cs="Times New Roman"/>
        </w:rPr>
        <w:t>iGovTIC</w:t>
      </w:r>
      <w:proofErr w:type="spellEnd"/>
      <w:r w:rsidR="003646B3" w:rsidRPr="00425C6E">
        <w:rPr>
          <w:rFonts w:cs="Times New Roman"/>
        </w:rPr>
        <w:t>-JUD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>, que tem por finalidade a medição da maturidade em TIC dos órgãos submetidos ao controle</w:t>
      </w:r>
      <w:r w:rsidR="007F2A3C" w:rsidRPr="00425C6E">
        <w:rPr>
          <w:rFonts w:cs="Times New Roman"/>
        </w:rPr>
        <w:t xml:space="preserve"> administrativo e financeiro</w:t>
      </w:r>
      <w:r w:rsidRPr="00425C6E">
        <w:rPr>
          <w:rFonts w:cs="Times New Roman"/>
        </w:rPr>
        <w:t xml:space="preserve"> do </w:t>
      </w:r>
      <w:r w:rsidR="009379A6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9379A6" w:rsidRPr="00425C6E">
        <w:rPr>
          <w:rFonts w:cs="Times New Roman"/>
        </w:rPr>
        <w:t>)</w:t>
      </w:r>
      <w:r w:rsidRPr="00425C6E">
        <w:rPr>
          <w:rFonts w:cs="Times New Roman"/>
        </w:rPr>
        <w:t>.</w:t>
      </w:r>
    </w:p>
    <w:p w14:paraId="21B51AF7" w14:textId="1CF92C39" w:rsidR="00117EEE" w:rsidRPr="00425C6E" w:rsidRDefault="00EF1C68" w:rsidP="007B1674">
      <w:pPr>
        <w:pStyle w:val="PargrafodaLista"/>
        <w:numPr>
          <w:ilvl w:val="0"/>
          <w:numId w:val="28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Os </w:t>
      </w:r>
      <w:r w:rsidR="00117EEE" w:rsidRPr="00425C6E">
        <w:rPr>
          <w:rFonts w:ascii="Times New Roman" w:hAnsi="Times New Roman" w:cs="Times New Roman"/>
          <w:sz w:val="24"/>
        </w:rPr>
        <w:t xml:space="preserve">itens do </w:t>
      </w:r>
      <w:r w:rsidR="00CA1326" w:rsidRPr="00425C6E">
        <w:rPr>
          <w:rFonts w:ascii="Times New Roman" w:hAnsi="Times New Roman" w:cs="Times New Roman"/>
          <w:sz w:val="24"/>
        </w:rPr>
        <w:t>levantamento</w:t>
      </w:r>
      <w:r w:rsidR="00117EEE" w:rsidRPr="00425C6E">
        <w:rPr>
          <w:rFonts w:ascii="Times New Roman" w:hAnsi="Times New Roman" w:cs="Times New Roman"/>
          <w:sz w:val="24"/>
        </w:rPr>
        <w:t xml:space="preserve"> de governança, gestão e infraestrutura de TIC serão construídos em </w:t>
      </w:r>
      <w:r w:rsidR="00D94689" w:rsidRPr="00425C6E">
        <w:rPr>
          <w:rFonts w:ascii="Times New Roman" w:hAnsi="Times New Roman" w:cs="Times New Roman"/>
          <w:sz w:val="24"/>
        </w:rPr>
        <w:t>consonância com as</w:t>
      </w:r>
      <w:r w:rsidR="00117EEE" w:rsidRPr="00425C6E">
        <w:rPr>
          <w:rFonts w:ascii="Times New Roman" w:hAnsi="Times New Roman" w:cs="Times New Roman"/>
          <w:sz w:val="24"/>
        </w:rPr>
        <w:t xml:space="preserve"> diretrizes estratégicas de TIC</w:t>
      </w:r>
      <w:r w:rsidR="00D94689" w:rsidRPr="00425C6E">
        <w:rPr>
          <w:rFonts w:ascii="Times New Roman" w:hAnsi="Times New Roman" w:cs="Times New Roman"/>
          <w:sz w:val="24"/>
        </w:rPr>
        <w:t>,</w:t>
      </w:r>
      <w:r w:rsidR="00117EEE" w:rsidRPr="00425C6E">
        <w:rPr>
          <w:rFonts w:ascii="Times New Roman" w:hAnsi="Times New Roman" w:cs="Times New Roman"/>
          <w:sz w:val="24"/>
        </w:rPr>
        <w:t xml:space="preserve"> estabelecidas </w:t>
      </w:r>
      <w:r w:rsidR="00D94689" w:rsidRPr="00425C6E">
        <w:rPr>
          <w:rFonts w:ascii="Times New Roman" w:hAnsi="Times New Roman" w:cs="Times New Roman"/>
          <w:sz w:val="24"/>
        </w:rPr>
        <w:t xml:space="preserve">nesta </w:t>
      </w:r>
      <w:r w:rsidR="00872B49" w:rsidRPr="00425C6E">
        <w:rPr>
          <w:rFonts w:ascii="Times New Roman" w:hAnsi="Times New Roman" w:cs="Times New Roman"/>
          <w:sz w:val="24"/>
        </w:rPr>
        <w:t>Resolução</w:t>
      </w:r>
      <w:r w:rsidR="0011460E" w:rsidRPr="00425C6E">
        <w:rPr>
          <w:rFonts w:ascii="Times New Roman" w:hAnsi="Times New Roman" w:cs="Times New Roman"/>
          <w:sz w:val="24"/>
        </w:rPr>
        <w:t xml:space="preserve">, e poderão ser </w:t>
      </w:r>
      <w:r w:rsidR="00117EEE" w:rsidRPr="00425C6E">
        <w:rPr>
          <w:rFonts w:ascii="Times New Roman" w:hAnsi="Times New Roman" w:cs="Times New Roman"/>
          <w:sz w:val="24"/>
        </w:rPr>
        <w:t>reavaliados anualmente com vistas ao aprimoramento do levantamento, considerando as inovações no cenário de tecnologia da informação e comunicação.</w:t>
      </w:r>
    </w:p>
    <w:p w14:paraId="61A37278" w14:textId="614D31D0" w:rsidR="00006B98" w:rsidRPr="00425C6E" w:rsidRDefault="000B2298" w:rsidP="007B1674">
      <w:pPr>
        <w:pStyle w:val="PargrafodaLista"/>
        <w:numPr>
          <w:ilvl w:val="0"/>
          <w:numId w:val="28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 </w:t>
      </w:r>
      <w:r w:rsidR="00EF1C68" w:rsidRPr="00425C6E">
        <w:rPr>
          <w:rFonts w:ascii="Times New Roman" w:hAnsi="Times New Roman" w:cs="Times New Roman"/>
          <w:sz w:val="24"/>
        </w:rPr>
        <w:t xml:space="preserve">Os </w:t>
      </w:r>
      <w:r w:rsidR="00006B98" w:rsidRPr="00425C6E">
        <w:rPr>
          <w:rFonts w:ascii="Times New Roman" w:hAnsi="Times New Roman" w:cs="Times New Roman"/>
          <w:sz w:val="24"/>
        </w:rPr>
        <w:t xml:space="preserve">resultados do levantamento serão estabelecidos </w:t>
      </w:r>
      <w:r w:rsidR="00936204" w:rsidRPr="00425C6E">
        <w:rPr>
          <w:rFonts w:ascii="Times New Roman" w:hAnsi="Times New Roman" w:cs="Times New Roman"/>
          <w:sz w:val="24"/>
        </w:rPr>
        <w:t>utilizando</w:t>
      </w:r>
      <w:r w:rsidR="00006B98" w:rsidRPr="00425C6E">
        <w:rPr>
          <w:rFonts w:ascii="Times New Roman" w:hAnsi="Times New Roman" w:cs="Times New Roman"/>
          <w:sz w:val="24"/>
        </w:rPr>
        <w:t>-se</w:t>
      </w:r>
      <w:r w:rsidRPr="00425C6E">
        <w:rPr>
          <w:rFonts w:ascii="Times New Roman" w:hAnsi="Times New Roman" w:cs="Times New Roman"/>
          <w:sz w:val="24"/>
        </w:rPr>
        <w:t xml:space="preserve"> </w:t>
      </w:r>
      <w:r w:rsidR="00006B98" w:rsidRPr="00425C6E">
        <w:rPr>
          <w:rFonts w:ascii="Times New Roman" w:hAnsi="Times New Roman" w:cs="Times New Roman"/>
          <w:sz w:val="24"/>
        </w:rPr>
        <w:t xml:space="preserve">metodologias de cálculo dispostas no </w:t>
      </w:r>
      <w:r w:rsidR="009F7AFD" w:rsidRPr="00425C6E">
        <w:rPr>
          <w:rFonts w:ascii="Times New Roman" w:hAnsi="Times New Roman" w:cs="Times New Roman"/>
          <w:sz w:val="24"/>
        </w:rPr>
        <w:t>Guia</w:t>
      </w:r>
      <w:r w:rsidR="00006B98" w:rsidRPr="00425C6E">
        <w:rPr>
          <w:rFonts w:ascii="Times New Roman" w:hAnsi="Times New Roman" w:cs="Times New Roman"/>
          <w:sz w:val="24"/>
        </w:rPr>
        <w:t>.</w:t>
      </w:r>
    </w:p>
    <w:p w14:paraId="3BD83A4A" w14:textId="4C481EA0" w:rsidR="00117EEE" w:rsidRPr="00425C6E" w:rsidRDefault="00EF1C68" w:rsidP="007B1674">
      <w:pPr>
        <w:pStyle w:val="PargrafodaLista"/>
        <w:numPr>
          <w:ilvl w:val="0"/>
          <w:numId w:val="28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As </w:t>
      </w:r>
      <w:r w:rsidR="00117EEE" w:rsidRPr="00425C6E">
        <w:rPr>
          <w:rFonts w:ascii="Times New Roman" w:hAnsi="Times New Roman" w:cs="Times New Roman"/>
          <w:sz w:val="24"/>
        </w:rPr>
        <w:t xml:space="preserve">respostas apresentadas no questionário </w:t>
      </w:r>
      <w:r w:rsidR="001B5849" w:rsidRPr="00425C6E">
        <w:rPr>
          <w:rFonts w:ascii="Times New Roman" w:hAnsi="Times New Roman" w:cs="Times New Roman"/>
          <w:sz w:val="24"/>
        </w:rPr>
        <w:t xml:space="preserve">servirão de </w:t>
      </w:r>
      <w:r w:rsidR="00117EEE" w:rsidRPr="00425C6E">
        <w:rPr>
          <w:rFonts w:ascii="Times New Roman" w:hAnsi="Times New Roman" w:cs="Times New Roman"/>
          <w:sz w:val="24"/>
        </w:rPr>
        <w:t>subsídio para estabelecer o índice de maturidade de cada órgão</w:t>
      </w:r>
      <w:r w:rsidR="009A34C0" w:rsidRPr="00425C6E">
        <w:rPr>
          <w:rFonts w:ascii="Times New Roman" w:hAnsi="Times New Roman" w:cs="Times New Roman"/>
          <w:sz w:val="24"/>
        </w:rPr>
        <w:t>.</w:t>
      </w:r>
      <w:r w:rsidR="00006B98" w:rsidRPr="00425C6E">
        <w:rPr>
          <w:rFonts w:ascii="Times New Roman" w:hAnsi="Times New Roman" w:cs="Times New Roman"/>
          <w:sz w:val="24"/>
        </w:rPr>
        <w:t xml:space="preserve"> </w:t>
      </w:r>
    </w:p>
    <w:p w14:paraId="17CC9995" w14:textId="05CBB506" w:rsidR="0079461C" w:rsidRPr="00425C6E" w:rsidRDefault="0079461C" w:rsidP="00F82C08">
      <w:pPr>
        <w:pStyle w:val="Numeraoartigo2"/>
        <w:ind w:left="0" w:firstLine="1135"/>
        <w:rPr>
          <w:rFonts w:cs="Times New Roman"/>
        </w:rPr>
      </w:pPr>
      <w:r w:rsidRPr="00425C6E">
        <w:rPr>
          <w:rFonts w:cs="Times New Roman"/>
        </w:rPr>
        <w:t xml:space="preserve">É competência do Comitê de Governança e Tecnologia da Informação e Comunicação </w:t>
      </w:r>
      <w:r w:rsidR="00AC38EE" w:rsidRPr="00425C6E">
        <w:rPr>
          <w:rFonts w:cs="Times New Roman"/>
        </w:rPr>
        <w:t>deliberar</w:t>
      </w:r>
      <w:r w:rsidR="00FB4180" w:rsidRPr="00425C6E">
        <w:rPr>
          <w:rFonts w:cs="Times New Roman"/>
        </w:rPr>
        <w:t xml:space="preserve"> sobre</w:t>
      </w:r>
      <w:r w:rsidRPr="00425C6E">
        <w:rPr>
          <w:rFonts w:cs="Times New Roman"/>
        </w:rPr>
        <w:t xml:space="preserve"> as informações do levantamento periódico realizado </w:t>
      </w:r>
      <w:r w:rsidR="00EE0C3F" w:rsidRPr="00425C6E">
        <w:rPr>
          <w:rFonts w:cs="Times New Roman"/>
        </w:rPr>
        <w:t>no órgão</w:t>
      </w:r>
      <w:r w:rsidR="00994A98" w:rsidRPr="00425C6E">
        <w:rPr>
          <w:rFonts w:cs="Times New Roman"/>
        </w:rPr>
        <w:t>.</w:t>
      </w:r>
    </w:p>
    <w:p w14:paraId="443DDFF1" w14:textId="3122BF3B" w:rsidR="00117EEE" w:rsidRPr="00425C6E" w:rsidRDefault="002E6997" w:rsidP="002E6997">
      <w:pPr>
        <w:pStyle w:val="Numeraoartigo2"/>
        <w:numPr>
          <w:ilvl w:val="0"/>
          <w:numId w:val="0"/>
        </w:numPr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</w:t>
      </w:r>
      <w:r w:rsidR="00117EEE" w:rsidRPr="00425C6E">
        <w:rPr>
          <w:rFonts w:cs="Times New Roman"/>
        </w:rPr>
        <w:t xml:space="preserve">As respostas de cada órgão </w:t>
      </w:r>
      <w:r w:rsidR="00D71621" w:rsidRPr="00425C6E">
        <w:rPr>
          <w:rFonts w:cs="Times New Roman"/>
        </w:rPr>
        <w:t>deverão ser</w:t>
      </w:r>
      <w:r w:rsidR="00117EEE" w:rsidRPr="00425C6E">
        <w:rPr>
          <w:rFonts w:cs="Times New Roman"/>
        </w:rPr>
        <w:t xml:space="preserve"> suportadas pelas evidências documentais</w:t>
      </w:r>
      <w:r w:rsidR="00D71621" w:rsidRPr="00425C6E">
        <w:rPr>
          <w:rFonts w:cs="Times New Roman"/>
        </w:rPr>
        <w:t xml:space="preserve"> e </w:t>
      </w:r>
      <w:r w:rsidR="00117EEE" w:rsidRPr="00425C6E">
        <w:rPr>
          <w:rFonts w:cs="Times New Roman"/>
        </w:rPr>
        <w:t>oportunamente reunidas e mantidas à disposição das instâncias de auditoria interna e externa.</w:t>
      </w:r>
    </w:p>
    <w:p w14:paraId="631D07A1" w14:textId="0BAA4841" w:rsidR="00117EEE" w:rsidRPr="00425C6E" w:rsidRDefault="00117EEE" w:rsidP="00992F75">
      <w:pPr>
        <w:pStyle w:val="Numeraoartigo2"/>
        <w:ind w:left="0" w:firstLine="1135"/>
        <w:rPr>
          <w:rFonts w:cs="Times New Roman"/>
        </w:rPr>
      </w:pPr>
      <w:r w:rsidRPr="00425C6E">
        <w:rPr>
          <w:rFonts w:cs="Times New Roman"/>
        </w:rPr>
        <w:t>A valoração dos itens do questionário e os critérios de classificação são definidos pelo Comitê Nacional de Gestão de Tecnologia da Informação e Comunicação (CNGTIC.PJ).</w:t>
      </w:r>
    </w:p>
    <w:p w14:paraId="2FAE3B03" w14:textId="57E5D444" w:rsidR="007B0201" w:rsidRPr="00425C6E" w:rsidRDefault="007B0201" w:rsidP="007B0201">
      <w:pPr>
        <w:pStyle w:val="Numeraoartigo2"/>
        <w:ind w:left="0" w:firstLine="1135"/>
        <w:rPr>
          <w:rFonts w:cs="Times New Roman"/>
        </w:rPr>
      </w:pPr>
      <w:bookmarkStart w:id="3" w:name="_Hlk54729264"/>
      <w:r w:rsidRPr="00425C6E">
        <w:rPr>
          <w:rFonts w:cs="Times New Roman"/>
        </w:rPr>
        <w:t>O resultado do levantamento será divulgado no sítio eletrônico do Conselho Nacional de Justiça</w:t>
      </w:r>
      <w:r w:rsidR="00F151A1" w:rsidRPr="00425C6E">
        <w:rPr>
          <w:rFonts w:cs="Times New Roman"/>
        </w:rPr>
        <w:t xml:space="preserve"> (CNJ)</w:t>
      </w:r>
      <w:r w:rsidRPr="00425C6E">
        <w:rPr>
          <w:rFonts w:cs="Times New Roman"/>
        </w:rPr>
        <w:t xml:space="preserve">, na </w:t>
      </w:r>
      <w:r w:rsidR="00F151A1" w:rsidRPr="00425C6E">
        <w:rPr>
          <w:rFonts w:cs="Times New Roman"/>
        </w:rPr>
        <w:t>P</w:t>
      </w:r>
      <w:r w:rsidRPr="00425C6E">
        <w:rPr>
          <w:rFonts w:cs="Times New Roman"/>
        </w:rPr>
        <w:t xml:space="preserve">lataforma </w:t>
      </w:r>
      <w:r w:rsidR="00F151A1" w:rsidRPr="00425C6E">
        <w:rPr>
          <w:rFonts w:cs="Times New Roman"/>
        </w:rPr>
        <w:t xml:space="preserve">CONNECT-JUS </w:t>
      </w:r>
      <w:r w:rsidRPr="00425C6E">
        <w:rPr>
          <w:rFonts w:cs="Times New Roman"/>
        </w:rPr>
        <w:t xml:space="preserve">e no </w:t>
      </w:r>
      <w:r w:rsidR="00BF1E4B" w:rsidRPr="00425C6E">
        <w:rPr>
          <w:rFonts w:cs="Times New Roman"/>
        </w:rPr>
        <w:t>P</w:t>
      </w:r>
      <w:r w:rsidR="005C0040" w:rsidRPr="00425C6E">
        <w:rPr>
          <w:rFonts w:cs="Times New Roman"/>
        </w:rPr>
        <w:t xml:space="preserve">ainel </w:t>
      </w:r>
      <w:r w:rsidR="00BF1E4B" w:rsidRPr="00425C6E">
        <w:rPr>
          <w:rFonts w:cs="Times New Roman"/>
        </w:rPr>
        <w:t>P</w:t>
      </w:r>
      <w:r w:rsidR="005C0040" w:rsidRPr="00425C6E">
        <w:rPr>
          <w:rFonts w:cs="Times New Roman"/>
        </w:rPr>
        <w:t xml:space="preserve">úblico do </w:t>
      </w:r>
      <w:r w:rsidR="00BF1E4B" w:rsidRPr="00425C6E">
        <w:rPr>
          <w:rFonts w:cs="Times New Roman"/>
        </w:rPr>
        <w:t>L</w:t>
      </w:r>
      <w:r w:rsidR="005C0040" w:rsidRPr="00425C6E">
        <w:rPr>
          <w:rFonts w:cs="Times New Roman"/>
        </w:rPr>
        <w:t xml:space="preserve">evantamento de </w:t>
      </w:r>
      <w:r w:rsidR="00BF1E4B" w:rsidRPr="00425C6E">
        <w:rPr>
          <w:rFonts w:cs="Times New Roman"/>
        </w:rPr>
        <w:t>M</w:t>
      </w:r>
      <w:r w:rsidR="005C0040" w:rsidRPr="00425C6E">
        <w:rPr>
          <w:rFonts w:cs="Times New Roman"/>
        </w:rPr>
        <w:t xml:space="preserve">aturidade em </w:t>
      </w:r>
      <w:r w:rsidR="00BF1E4B" w:rsidRPr="00425C6E">
        <w:rPr>
          <w:rFonts w:cs="Times New Roman"/>
        </w:rPr>
        <w:t>G</w:t>
      </w:r>
      <w:r w:rsidR="005C0040" w:rsidRPr="00425C6E">
        <w:rPr>
          <w:rFonts w:cs="Times New Roman"/>
        </w:rPr>
        <w:t xml:space="preserve">overnança,  </w:t>
      </w:r>
      <w:r w:rsidR="00BF1E4B" w:rsidRPr="00425C6E">
        <w:rPr>
          <w:rFonts w:cs="Times New Roman"/>
        </w:rPr>
        <w:t>G</w:t>
      </w:r>
      <w:r w:rsidR="005C0040" w:rsidRPr="00425C6E">
        <w:rPr>
          <w:rFonts w:cs="Times New Roman"/>
        </w:rPr>
        <w:t xml:space="preserve">estão e </w:t>
      </w:r>
      <w:r w:rsidR="00BF1E4B" w:rsidRPr="00425C6E">
        <w:rPr>
          <w:rFonts w:cs="Times New Roman"/>
        </w:rPr>
        <w:t>I</w:t>
      </w:r>
      <w:r w:rsidR="005C0040" w:rsidRPr="00425C6E">
        <w:rPr>
          <w:rFonts w:cs="Times New Roman"/>
        </w:rPr>
        <w:t>nfraestrutura de TIC</w:t>
      </w:r>
      <w:r w:rsidR="00591EB5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com o objetivo de promover a transparência, a integração e o compartilhamento de informações entre os órgãos e as áreas de TIC do Poder Judiciário.</w:t>
      </w:r>
    </w:p>
    <w:bookmarkEnd w:id="3"/>
    <w:p w14:paraId="1C27CB25" w14:textId="78A32625" w:rsidR="00824C01" w:rsidRPr="00425C6E" w:rsidRDefault="004D53D4" w:rsidP="00DB17B1">
      <w:pPr>
        <w:pStyle w:val="Numeraoartigo2"/>
        <w:numPr>
          <w:ilvl w:val="0"/>
          <w:numId w:val="0"/>
        </w:numPr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</w:t>
      </w:r>
      <w:r w:rsidR="00AB58B0" w:rsidRPr="00425C6E">
        <w:rPr>
          <w:rFonts w:cs="Times New Roman"/>
        </w:rPr>
        <w:t>ú</w:t>
      </w:r>
      <w:r w:rsidRPr="00425C6E">
        <w:rPr>
          <w:rFonts w:cs="Times New Roman"/>
        </w:rPr>
        <w:t xml:space="preserve">nico: </w:t>
      </w:r>
      <w:r w:rsidR="002008AE" w:rsidRPr="00425C6E">
        <w:rPr>
          <w:rFonts w:cs="Times New Roman"/>
        </w:rPr>
        <w:t>O levantamento</w:t>
      </w:r>
      <w:r w:rsidR="008943E1" w:rsidRPr="00425C6E">
        <w:rPr>
          <w:rFonts w:cs="Times New Roman"/>
        </w:rPr>
        <w:t xml:space="preserve"> contemplará informações como a média por segmento, dimensão e evolução histórica geral dos órgãos</w:t>
      </w:r>
      <w:r w:rsidR="002008AE" w:rsidRPr="00425C6E">
        <w:rPr>
          <w:rFonts w:cs="Times New Roman"/>
        </w:rPr>
        <w:t>, englobando relatórios detalhados, notas, respostas do questionário de cada órgão.</w:t>
      </w:r>
    </w:p>
    <w:p w14:paraId="037D5063" w14:textId="1C06CDA0" w:rsidR="00EA228E" w:rsidRPr="00425C6E" w:rsidRDefault="00CB0F55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4D0A55" w:rsidRPr="00425C6E">
        <w:rPr>
          <w:rFonts w:ascii="Times New Roman" w:hAnsi="Times New Roman" w:cs="Times New Roman"/>
          <w:b/>
          <w:bCs/>
          <w:sz w:val="24"/>
        </w:rPr>
        <w:t>II</w:t>
      </w:r>
      <w:r w:rsidR="00785EF6" w:rsidRPr="00425C6E">
        <w:rPr>
          <w:rFonts w:ascii="Times New Roman" w:hAnsi="Times New Roman" w:cs="Times New Roman"/>
          <w:b/>
          <w:bCs/>
          <w:sz w:val="24"/>
        </w:rPr>
        <w:t>I</w:t>
      </w:r>
    </w:p>
    <w:p w14:paraId="79819ADC" w14:textId="633C2EF6" w:rsidR="00EA228E" w:rsidRPr="00425C6E" w:rsidRDefault="00CB0F55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 Transformação Digital</w:t>
      </w:r>
    </w:p>
    <w:p w14:paraId="75DD52B0" w14:textId="77777777" w:rsidR="008453D4" w:rsidRPr="00425C6E" w:rsidRDefault="008453D4" w:rsidP="00F1464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1C386E66" w14:textId="5D7693C2" w:rsidR="00EA228E" w:rsidRPr="00425C6E" w:rsidRDefault="00EA228E" w:rsidP="003A776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Para a consecução dos objetivos estabelecidos na </w:t>
      </w:r>
      <w:r w:rsidR="004D53D4" w:rsidRPr="00425C6E">
        <w:rPr>
          <w:rFonts w:cs="Times New Roman"/>
        </w:rPr>
        <w:t xml:space="preserve">Estratégia Nacional de Tecnologia da Informação e Comunicação do Poder Judiciário </w:t>
      </w:r>
      <w:r w:rsidR="000F7B98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, </w:t>
      </w:r>
      <w:r w:rsidR="00A26EEF" w:rsidRPr="00425C6E">
        <w:rPr>
          <w:rFonts w:cs="Times New Roman"/>
        </w:rPr>
        <w:t xml:space="preserve">os </w:t>
      </w:r>
      <w:r w:rsidR="00C70AEA" w:rsidRPr="00425C6E">
        <w:rPr>
          <w:rFonts w:cs="Times New Roman"/>
        </w:rPr>
        <w:t>órgãos</w:t>
      </w:r>
      <w:r w:rsidR="00A26EEF" w:rsidRPr="00425C6E">
        <w:rPr>
          <w:rFonts w:cs="Times New Roman"/>
        </w:rPr>
        <w:t xml:space="preserve"> elaborarão </w:t>
      </w:r>
      <w:r w:rsidRPr="00425C6E">
        <w:rPr>
          <w:rFonts w:cs="Times New Roman"/>
        </w:rPr>
        <w:t>o seguinte</w:t>
      </w:r>
      <w:r w:rsidR="00A26EEF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instrumento</w:t>
      </w:r>
      <w:r w:rsidR="00A26EEF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de planejamento:</w:t>
      </w:r>
    </w:p>
    <w:p w14:paraId="3BEFED49" w14:textId="6F12A3E4" w:rsidR="00EA228E" w:rsidRPr="00425C6E" w:rsidRDefault="00EA228E" w:rsidP="007B1674">
      <w:pPr>
        <w:pStyle w:val="Artigopargrafos"/>
        <w:numPr>
          <w:ilvl w:val="0"/>
          <w:numId w:val="17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Plano de Transformação Digital que conterá, no mínimo, as ações de:</w:t>
      </w:r>
    </w:p>
    <w:p w14:paraId="7E6EE621" w14:textId="58835210" w:rsidR="00EA228E" w:rsidRPr="00425C6E" w:rsidRDefault="00EF1C68" w:rsidP="007B1674">
      <w:pPr>
        <w:pStyle w:val="Numeraoartigo2"/>
        <w:numPr>
          <w:ilvl w:val="0"/>
          <w:numId w:val="16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Transformação </w:t>
      </w:r>
      <w:r w:rsidR="00EA228E" w:rsidRPr="00425C6E">
        <w:rPr>
          <w:rFonts w:cs="Times New Roman"/>
        </w:rPr>
        <w:t>digital de serviços</w:t>
      </w:r>
      <w:r w:rsidR="00C014D8" w:rsidRPr="00425C6E">
        <w:rPr>
          <w:rFonts w:cs="Times New Roman"/>
        </w:rPr>
        <w:t>;</w:t>
      </w:r>
    </w:p>
    <w:p w14:paraId="7F7F6D4E" w14:textId="56779213" w:rsidR="00EA228E" w:rsidRPr="00425C6E" w:rsidRDefault="00EF1C68" w:rsidP="007B1674">
      <w:pPr>
        <w:pStyle w:val="Numeraoartigo2"/>
        <w:numPr>
          <w:ilvl w:val="0"/>
          <w:numId w:val="16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Integração </w:t>
      </w:r>
      <w:r w:rsidR="00EA228E" w:rsidRPr="00425C6E">
        <w:rPr>
          <w:rFonts w:cs="Times New Roman"/>
        </w:rPr>
        <w:t>de canais digitais;</w:t>
      </w:r>
    </w:p>
    <w:p w14:paraId="56914A23" w14:textId="5CB279AB" w:rsidR="00EA228E" w:rsidRPr="00425C6E" w:rsidRDefault="00EF1C68" w:rsidP="007B1674">
      <w:pPr>
        <w:pStyle w:val="Numeraoartigo2"/>
        <w:numPr>
          <w:ilvl w:val="0"/>
          <w:numId w:val="16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Interoperabilidade </w:t>
      </w:r>
      <w:r w:rsidR="00EA228E" w:rsidRPr="00425C6E">
        <w:rPr>
          <w:rFonts w:cs="Times New Roman"/>
        </w:rPr>
        <w:t>de sistemas;</w:t>
      </w:r>
    </w:p>
    <w:p w14:paraId="04DB51B7" w14:textId="1E69360F" w:rsidR="00753583" w:rsidRPr="00425C6E" w:rsidRDefault="00EF1C68" w:rsidP="007B1674">
      <w:pPr>
        <w:pStyle w:val="Numeraoartigo2"/>
        <w:numPr>
          <w:ilvl w:val="0"/>
          <w:numId w:val="16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Estratégia </w:t>
      </w:r>
      <w:r w:rsidR="00753583" w:rsidRPr="00425C6E">
        <w:rPr>
          <w:rFonts w:cs="Times New Roman"/>
        </w:rPr>
        <w:t>de monitoramento.</w:t>
      </w:r>
    </w:p>
    <w:p w14:paraId="6A3CD337" w14:textId="0A5702D2" w:rsidR="00A43B5F" w:rsidRPr="00425C6E" w:rsidRDefault="00A43B5F" w:rsidP="007B1674">
      <w:pPr>
        <w:pStyle w:val="Artigopargrafos"/>
        <w:numPr>
          <w:ilvl w:val="0"/>
          <w:numId w:val="17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instrumento de planejamento de que trata o caput </w:t>
      </w:r>
      <w:r w:rsidR="00A26EEF" w:rsidRPr="00425C6E">
        <w:rPr>
          <w:rFonts w:cs="Times New Roman"/>
        </w:rPr>
        <w:t>será</w:t>
      </w:r>
      <w:r w:rsidRPr="00425C6E">
        <w:rPr>
          <w:rFonts w:cs="Times New Roman"/>
        </w:rPr>
        <w:t>:</w:t>
      </w:r>
    </w:p>
    <w:p w14:paraId="529A34E8" w14:textId="02CF3A10" w:rsidR="00A43B5F" w:rsidRPr="00425C6E" w:rsidRDefault="00EF1C68" w:rsidP="007B1674">
      <w:pPr>
        <w:pStyle w:val="Numeraoartigo2"/>
        <w:numPr>
          <w:ilvl w:val="0"/>
          <w:numId w:val="23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Elaborado </w:t>
      </w:r>
      <w:r w:rsidR="00A43B5F" w:rsidRPr="00425C6E">
        <w:rPr>
          <w:rFonts w:cs="Times New Roman"/>
        </w:rPr>
        <w:t xml:space="preserve">pela unidade competente dos </w:t>
      </w:r>
      <w:r w:rsidR="00C70AEA" w:rsidRPr="00425C6E">
        <w:rPr>
          <w:rFonts w:cs="Times New Roman"/>
        </w:rPr>
        <w:t>órgãos</w:t>
      </w:r>
      <w:r w:rsidR="00D452EF" w:rsidRPr="00425C6E">
        <w:rPr>
          <w:rFonts w:cs="Times New Roman"/>
        </w:rPr>
        <w:t>, respeitando suas especificidades</w:t>
      </w:r>
      <w:r w:rsidR="00A43B5F" w:rsidRPr="00425C6E">
        <w:rPr>
          <w:rFonts w:cs="Times New Roman"/>
        </w:rPr>
        <w:t>;</w:t>
      </w:r>
    </w:p>
    <w:p w14:paraId="0C684F84" w14:textId="23F91CC5" w:rsidR="00A43B5F" w:rsidRPr="00425C6E" w:rsidRDefault="00EF1C68" w:rsidP="007B1674">
      <w:pPr>
        <w:pStyle w:val="Numeraoartigo2"/>
        <w:numPr>
          <w:ilvl w:val="0"/>
          <w:numId w:val="23"/>
        </w:numPr>
        <w:tabs>
          <w:tab w:val="left" w:pos="1701"/>
        </w:tabs>
        <w:ind w:left="1134" w:firstLine="0"/>
        <w:rPr>
          <w:rFonts w:cs="Times New Roman"/>
        </w:rPr>
      </w:pPr>
      <w:r w:rsidRPr="00425C6E">
        <w:rPr>
          <w:rFonts w:cs="Times New Roman"/>
        </w:rPr>
        <w:t xml:space="preserve">Aprovado </w:t>
      </w:r>
      <w:r w:rsidR="00964608" w:rsidRPr="00425C6E">
        <w:rPr>
          <w:rFonts w:cs="Times New Roman"/>
        </w:rPr>
        <w:t>pelo Comitê de Governança de Tecnologia da Informação e Comunicação</w:t>
      </w:r>
      <w:r w:rsidR="00AD6E6A" w:rsidRPr="00425C6E">
        <w:rPr>
          <w:rFonts w:cs="Times New Roman"/>
        </w:rPr>
        <w:t>.</w:t>
      </w:r>
    </w:p>
    <w:p w14:paraId="78487BEF" w14:textId="25545107" w:rsidR="00A43B5F" w:rsidRPr="00425C6E" w:rsidRDefault="00A43B5F" w:rsidP="007B1674">
      <w:pPr>
        <w:pStyle w:val="Artigopargrafos"/>
        <w:numPr>
          <w:ilvl w:val="0"/>
          <w:numId w:val="17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poderão elaborar conjuntamente seus Planos de Transformação Digital, estruturados de acordo com a área temática</w:t>
      </w:r>
      <w:r w:rsidR="006D10AA" w:rsidRPr="00425C6E">
        <w:rPr>
          <w:rFonts w:cs="Times New Roman"/>
        </w:rPr>
        <w:t>.</w:t>
      </w:r>
    </w:p>
    <w:p w14:paraId="4DF52B6B" w14:textId="083693E9" w:rsidR="003F21AC" w:rsidRPr="00425C6E" w:rsidRDefault="00CB0F55" w:rsidP="003F21AC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F82C08" w:rsidRPr="00425C6E">
        <w:rPr>
          <w:rFonts w:ascii="Times New Roman" w:hAnsi="Times New Roman" w:cs="Times New Roman"/>
          <w:b/>
          <w:bCs/>
          <w:sz w:val="24"/>
        </w:rPr>
        <w:t>IV</w:t>
      </w:r>
    </w:p>
    <w:p w14:paraId="518F76D8" w14:textId="02B5B7B8" w:rsidR="003F21AC" w:rsidRPr="00425C6E" w:rsidRDefault="00CB0F55" w:rsidP="004B5604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Atendimento e</w:t>
      </w:r>
      <w:r w:rsidR="00B65065" w:rsidRPr="00425C6E">
        <w:rPr>
          <w:rFonts w:ascii="Times New Roman" w:hAnsi="Times New Roman" w:cs="Times New Roman"/>
          <w:b/>
          <w:bCs/>
          <w:sz w:val="24"/>
        </w:rPr>
        <w:t xml:space="preserve"> </w:t>
      </w:r>
      <w:r w:rsidRPr="00425C6E">
        <w:rPr>
          <w:rFonts w:ascii="Times New Roman" w:hAnsi="Times New Roman" w:cs="Times New Roman"/>
          <w:b/>
          <w:bCs/>
          <w:sz w:val="24"/>
        </w:rPr>
        <w:t>Suporte ao</w:t>
      </w:r>
      <w:r w:rsidR="00B65065" w:rsidRPr="00425C6E">
        <w:rPr>
          <w:rFonts w:ascii="Times New Roman" w:hAnsi="Times New Roman" w:cs="Times New Roman"/>
          <w:b/>
          <w:bCs/>
          <w:sz w:val="24"/>
        </w:rPr>
        <w:t xml:space="preserve"> </w:t>
      </w:r>
      <w:r w:rsidRPr="00425C6E">
        <w:rPr>
          <w:rFonts w:ascii="Times New Roman" w:hAnsi="Times New Roman" w:cs="Times New Roman"/>
          <w:b/>
          <w:bCs/>
          <w:sz w:val="24"/>
        </w:rPr>
        <w:t>Usuário</w:t>
      </w:r>
    </w:p>
    <w:p w14:paraId="10D1461A" w14:textId="77777777" w:rsidR="00730BAD" w:rsidRPr="00425C6E" w:rsidRDefault="00730BAD" w:rsidP="004B5604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187DC7B8" w14:textId="75CB2844" w:rsidR="00E3641C" w:rsidRPr="00425C6E" w:rsidRDefault="00E3641C" w:rsidP="003A776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fortalecimento da relação do </w:t>
      </w:r>
      <w:r w:rsidR="00036FD9" w:rsidRPr="00425C6E">
        <w:rPr>
          <w:rFonts w:cs="Times New Roman"/>
        </w:rPr>
        <w:t xml:space="preserve">Poder Judiciário </w:t>
      </w:r>
      <w:r w:rsidRPr="00425C6E">
        <w:rPr>
          <w:rFonts w:cs="Times New Roman"/>
        </w:rPr>
        <w:t>com a sociedade se dará por meio de estratégias de comunicação</w:t>
      </w:r>
      <w:r w:rsidR="00036FD9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procedimentos objetivos e ágeis</w:t>
      </w:r>
      <w:r w:rsidR="00730BAD" w:rsidRPr="00425C6E">
        <w:rPr>
          <w:rFonts w:cs="Times New Roman"/>
        </w:rPr>
        <w:t xml:space="preserve"> e </w:t>
      </w:r>
      <w:r w:rsidR="00F93178" w:rsidRPr="00425C6E">
        <w:rPr>
          <w:rFonts w:cs="Times New Roman"/>
        </w:rPr>
        <w:t>com uso</w:t>
      </w:r>
      <w:r w:rsidR="005B43F4" w:rsidRPr="00425C6E">
        <w:rPr>
          <w:rFonts w:cs="Times New Roman"/>
        </w:rPr>
        <w:t xml:space="preserve"> de</w:t>
      </w:r>
      <w:r w:rsidR="00C62D70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linguagem de fácil compreensão.</w:t>
      </w:r>
    </w:p>
    <w:p w14:paraId="49156268" w14:textId="7E4E3403" w:rsidR="00DE0393" w:rsidRPr="00425C6E" w:rsidRDefault="00867C50" w:rsidP="003A776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As soluções de aprimoramento à interação com a sociedade deverão</w:t>
      </w:r>
      <w:r w:rsidR="00DE0393" w:rsidRPr="00425C6E">
        <w:rPr>
          <w:rFonts w:cs="Times New Roman"/>
        </w:rPr>
        <w:t xml:space="preserve"> ser realizada</w:t>
      </w:r>
      <w:r w:rsidRPr="00425C6E">
        <w:rPr>
          <w:rFonts w:cs="Times New Roman"/>
        </w:rPr>
        <w:t>s</w:t>
      </w:r>
      <w:r w:rsidR="00DE0393" w:rsidRPr="00425C6E">
        <w:rPr>
          <w:rFonts w:cs="Times New Roman"/>
        </w:rPr>
        <w:t xml:space="preserve"> por meio de canais e serviços digitais simples e intuitivos</w:t>
      </w:r>
      <w:r w:rsidRPr="00425C6E">
        <w:rPr>
          <w:rFonts w:cs="Times New Roman"/>
        </w:rPr>
        <w:t xml:space="preserve">, </w:t>
      </w:r>
      <w:r w:rsidR="006B1846" w:rsidRPr="00425C6E">
        <w:rPr>
          <w:rFonts w:cs="Times New Roman"/>
        </w:rPr>
        <w:t xml:space="preserve">em busca de </w:t>
      </w:r>
      <w:r w:rsidRPr="00425C6E">
        <w:rPr>
          <w:rFonts w:cs="Times New Roman"/>
        </w:rPr>
        <w:t>estabelecer padrão mínimo de qualidade para os serviços digitais do Poder Judiciário</w:t>
      </w:r>
      <w:r w:rsidR="00310A88" w:rsidRPr="00425C6E">
        <w:rPr>
          <w:rFonts w:cs="Times New Roman"/>
        </w:rPr>
        <w:t>.</w:t>
      </w:r>
    </w:p>
    <w:p w14:paraId="53405393" w14:textId="04D5F7A5" w:rsidR="00867C50" w:rsidRPr="00425C6E" w:rsidRDefault="00867C50" w:rsidP="007B1674">
      <w:pPr>
        <w:pStyle w:val="Artigopargrafos"/>
        <w:numPr>
          <w:ilvl w:val="0"/>
          <w:numId w:val="18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 As soluções de que trata o caput proporciona</w:t>
      </w:r>
      <w:r w:rsidR="00D30BAF" w:rsidRPr="00425C6E">
        <w:rPr>
          <w:rFonts w:cs="Times New Roman"/>
        </w:rPr>
        <w:t>m</w:t>
      </w:r>
      <w:r w:rsidRPr="00425C6E">
        <w:rPr>
          <w:rFonts w:cs="Times New Roman"/>
        </w:rPr>
        <w:t xml:space="preserve"> experiência consistente de atendimento ao cidadão e integra dados do Pod</w:t>
      </w:r>
      <w:r w:rsidR="00EB4BE0" w:rsidRPr="00425C6E">
        <w:rPr>
          <w:rFonts w:cs="Times New Roman"/>
        </w:rPr>
        <w:t>er Judiciário, reduzindo custos e</w:t>
      </w:r>
      <w:r w:rsidRPr="00425C6E">
        <w:rPr>
          <w:rFonts w:cs="Times New Roman"/>
        </w:rPr>
        <w:t xml:space="preserve"> ampliando a oferta de serviços digitais</w:t>
      </w:r>
      <w:r w:rsidR="00EB4BE0" w:rsidRPr="00425C6E">
        <w:rPr>
          <w:rFonts w:cs="Times New Roman"/>
        </w:rPr>
        <w:t>, a</w:t>
      </w:r>
      <w:r w:rsidR="005B43F4" w:rsidRPr="00425C6E">
        <w:rPr>
          <w:rFonts w:cs="Times New Roman"/>
        </w:rPr>
        <w:t>lém de</w:t>
      </w:r>
      <w:r w:rsidRPr="00425C6E">
        <w:rPr>
          <w:rFonts w:cs="Times New Roman"/>
        </w:rPr>
        <w:t xml:space="preserve"> retira</w:t>
      </w:r>
      <w:r w:rsidR="005B43F4" w:rsidRPr="00425C6E">
        <w:rPr>
          <w:rFonts w:cs="Times New Roman"/>
        </w:rPr>
        <w:t>r</w:t>
      </w:r>
      <w:r w:rsidRPr="00425C6E">
        <w:rPr>
          <w:rFonts w:cs="Times New Roman"/>
        </w:rPr>
        <w:t xml:space="preserve"> do cidadão o ônus do deslocamento e apresentação de documentos.</w:t>
      </w:r>
    </w:p>
    <w:p w14:paraId="7885F14B" w14:textId="38DDFE1D" w:rsidR="009259E0" w:rsidRPr="00425C6E" w:rsidRDefault="001A14BC" w:rsidP="007B1674">
      <w:pPr>
        <w:pStyle w:val="Artigopargrafos"/>
        <w:numPr>
          <w:ilvl w:val="0"/>
          <w:numId w:val="18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será responsável em promover a divulgação ampla das pesquisas de satisfação</w:t>
      </w:r>
      <w:r w:rsidR="002B5086" w:rsidRPr="00425C6E">
        <w:rPr>
          <w:rFonts w:cs="Times New Roman"/>
        </w:rPr>
        <w:t xml:space="preserve"> e experi</w:t>
      </w:r>
      <w:r w:rsidR="00AD6E6A" w:rsidRPr="00425C6E">
        <w:rPr>
          <w:rFonts w:cs="Times New Roman"/>
        </w:rPr>
        <w:t>ê</w:t>
      </w:r>
      <w:r w:rsidR="002B5086" w:rsidRPr="00425C6E">
        <w:rPr>
          <w:rFonts w:cs="Times New Roman"/>
        </w:rPr>
        <w:t>ncia do usuário</w:t>
      </w:r>
      <w:r w:rsidR="00167DF7" w:rsidRPr="00425C6E">
        <w:rPr>
          <w:rFonts w:cs="Times New Roman"/>
        </w:rPr>
        <w:t>.</w:t>
      </w:r>
      <w:r w:rsidR="002B5086" w:rsidRPr="00425C6E">
        <w:rPr>
          <w:rFonts w:cs="Times New Roman"/>
        </w:rPr>
        <w:t xml:space="preserve"> </w:t>
      </w:r>
    </w:p>
    <w:p w14:paraId="6D0581C0" w14:textId="77777777" w:rsidR="00467E03" w:rsidRPr="00425C6E" w:rsidRDefault="003F21AC" w:rsidP="00467E03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Para avaliar a satisfação do usuário, 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oferecer meio de avaliação </w:t>
      </w:r>
      <w:r w:rsidR="001A14BC" w:rsidRPr="00425C6E">
        <w:rPr>
          <w:rFonts w:cs="Times New Roman"/>
        </w:rPr>
        <w:t xml:space="preserve">ou pesquisa </w:t>
      </w:r>
      <w:r w:rsidRPr="00425C6E">
        <w:rPr>
          <w:rFonts w:cs="Times New Roman"/>
        </w:rPr>
        <w:t>de satisfação padronizad</w:t>
      </w:r>
      <w:r w:rsidR="00AD6E6A" w:rsidRPr="00425C6E">
        <w:rPr>
          <w:rFonts w:cs="Times New Roman"/>
        </w:rPr>
        <w:t>o</w:t>
      </w:r>
      <w:r w:rsidRPr="00425C6E">
        <w:rPr>
          <w:rFonts w:cs="Times New Roman"/>
        </w:rPr>
        <w:t xml:space="preserve"> com o objetivo de</w:t>
      </w:r>
      <w:r w:rsidR="006F6CC9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aprimorar a percepção de utilidade das informações dos serviços</w:t>
      </w:r>
      <w:r w:rsidR="00AD6E6A" w:rsidRPr="00425C6E">
        <w:rPr>
          <w:rFonts w:cs="Times New Roman"/>
        </w:rPr>
        <w:t xml:space="preserve">, </w:t>
      </w:r>
      <w:r w:rsidRPr="00425C6E">
        <w:rPr>
          <w:rFonts w:cs="Times New Roman"/>
        </w:rPr>
        <w:t xml:space="preserve">monitorar e implementar ações de melhoria dos serviços prestados, </w:t>
      </w:r>
      <w:r w:rsidR="00AD6E6A" w:rsidRPr="00425C6E">
        <w:rPr>
          <w:rFonts w:cs="Times New Roman"/>
        </w:rPr>
        <w:t>baseado</w:t>
      </w:r>
      <w:r w:rsidRPr="00425C6E">
        <w:rPr>
          <w:rFonts w:cs="Times New Roman"/>
        </w:rPr>
        <w:t xml:space="preserve"> nos resultados da avaliação de satisfação dos usuários</w:t>
      </w:r>
      <w:r w:rsidR="00AD6E6A" w:rsidRPr="00425C6E">
        <w:rPr>
          <w:rFonts w:cs="Times New Roman"/>
        </w:rPr>
        <w:t>.</w:t>
      </w:r>
    </w:p>
    <w:p w14:paraId="156CCB6F" w14:textId="26A4B585" w:rsidR="00167DF7" w:rsidRPr="00425C6E" w:rsidRDefault="00D23B3F" w:rsidP="007B1674">
      <w:pPr>
        <w:pStyle w:val="Artigopargrafos"/>
        <w:numPr>
          <w:ilvl w:val="0"/>
          <w:numId w:val="31"/>
        </w:numPr>
        <w:ind w:left="0" w:firstLine="1134"/>
        <w:rPr>
          <w:rFonts w:cs="Times New Roman"/>
        </w:rPr>
      </w:pPr>
      <w:r w:rsidRPr="00425C6E">
        <w:rPr>
          <w:rFonts w:cs="Times New Roman"/>
        </w:rPr>
        <w:t>Para aperfeiçoar os atendimentos</w:t>
      </w:r>
      <w:r w:rsidR="0096752D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deverão </w:t>
      </w:r>
      <w:r w:rsidR="006B1846" w:rsidRPr="00425C6E">
        <w:rPr>
          <w:rFonts w:cs="Times New Roman"/>
        </w:rPr>
        <w:t xml:space="preserve">implantar processos de gestão </w:t>
      </w:r>
      <w:r w:rsidR="000A690F" w:rsidRPr="00425C6E">
        <w:rPr>
          <w:shd w:val="clear" w:color="auto" w:fill="FFFFFF"/>
        </w:rPr>
        <w:t xml:space="preserve">baseados em modelos e boas práticas de mercado, </w:t>
      </w:r>
      <w:r w:rsidR="00167DF7" w:rsidRPr="00425C6E">
        <w:rPr>
          <w:rFonts w:cs="Times New Roman"/>
        </w:rPr>
        <w:t xml:space="preserve">e definir parâmetros de pesquisa com o objetivo de uniformizar e gerar indicadores mais precisos e equiparados entre os </w:t>
      </w:r>
      <w:r w:rsidR="001A67FC" w:rsidRPr="00425C6E">
        <w:rPr>
          <w:rFonts w:cs="Times New Roman"/>
        </w:rPr>
        <w:t xml:space="preserve">órgãos </w:t>
      </w:r>
      <w:r w:rsidR="00167DF7" w:rsidRPr="00425C6E">
        <w:rPr>
          <w:rFonts w:cs="Times New Roman"/>
        </w:rPr>
        <w:t>do Poder Judiciário.</w:t>
      </w:r>
    </w:p>
    <w:p w14:paraId="2F6EA753" w14:textId="5EDD255C" w:rsidR="003C27C1" w:rsidRPr="00425C6E" w:rsidRDefault="00A270CB" w:rsidP="007B1674">
      <w:pPr>
        <w:pStyle w:val="Artigopargrafos"/>
        <w:numPr>
          <w:ilvl w:val="0"/>
          <w:numId w:val="31"/>
        </w:numPr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Para melhorar os serviços prestados ao cidadão,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do Poder Judiciário deverão implantar </w:t>
      </w:r>
      <w:r w:rsidR="003C27C1" w:rsidRPr="00425C6E">
        <w:rPr>
          <w:rFonts w:cs="Times New Roman"/>
        </w:rPr>
        <w:t>estratégias flexíveis e aderentes às especificidades locais, regionais e próprias de cada segmento</w:t>
      </w:r>
      <w:r w:rsidR="006330CD" w:rsidRPr="00425C6E">
        <w:rPr>
          <w:rFonts w:cs="Times New Roman"/>
        </w:rPr>
        <w:t xml:space="preserve"> </w:t>
      </w:r>
      <w:r w:rsidR="003C27C1" w:rsidRPr="00425C6E">
        <w:rPr>
          <w:rFonts w:cs="Times New Roman"/>
        </w:rPr>
        <w:t>do Poder Judiciário de forma colaborativa visando a eficiência operacional interna, humanização do atendimento de TI</w:t>
      </w:r>
      <w:r w:rsidR="00A84199" w:rsidRPr="00425C6E">
        <w:rPr>
          <w:rFonts w:cs="Times New Roman"/>
        </w:rPr>
        <w:t>C</w:t>
      </w:r>
      <w:r w:rsidR="003C27C1" w:rsidRPr="00425C6E">
        <w:rPr>
          <w:rFonts w:cs="Times New Roman"/>
        </w:rPr>
        <w:t xml:space="preserve">, simplificação dos </w:t>
      </w:r>
      <w:r w:rsidR="00933C9D" w:rsidRPr="00425C6E">
        <w:rPr>
          <w:rFonts w:cs="Times New Roman"/>
        </w:rPr>
        <w:t>processos</w:t>
      </w:r>
      <w:r w:rsidR="003C27C1" w:rsidRPr="00425C6E">
        <w:rPr>
          <w:rFonts w:cs="Times New Roman"/>
        </w:rPr>
        <w:t xml:space="preserve"> internos da área de TIC e otimização d</w:t>
      </w:r>
      <w:r w:rsidR="002016FA" w:rsidRPr="00425C6E">
        <w:rPr>
          <w:rFonts w:cs="Times New Roman"/>
        </w:rPr>
        <w:t>os</w:t>
      </w:r>
      <w:r w:rsidR="003C27C1" w:rsidRPr="00425C6E">
        <w:rPr>
          <w:rFonts w:cs="Times New Roman"/>
        </w:rPr>
        <w:t xml:space="preserve"> processos de trabalho.</w:t>
      </w:r>
    </w:p>
    <w:p w14:paraId="0B19F3A9" w14:textId="328EC889" w:rsidR="003A1C09" w:rsidRPr="00425C6E" w:rsidRDefault="00F06F41" w:rsidP="00F06F41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Todos os órgãos do Poder Judiciário devem adotar modelos de governança e práticas de gerenciamento de serviços de Tecnologia da Informação e Comunicação que favoreçam a entrega de valor para a sociedade no qual a concepção, entrega e melhoria contínua de serviços ocorram de forma adaptável, rápida e transparente.</w:t>
      </w:r>
    </w:p>
    <w:p w14:paraId="20887BC2" w14:textId="10D57456" w:rsidR="00F06F41" w:rsidRPr="00425C6E" w:rsidRDefault="00F06F41" w:rsidP="00DB17B1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Cada órgão</w:t>
      </w:r>
      <w:r w:rsidR="00EF5A12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deverá utilizar ferramentas e soluções para proporcionar atendimento personalizado ao</w:t>
      </w:r>
      <w:r w:rsidR="00AF17AC" w:rsidRPr="00425C6E">
        <w:rPr>
          <w:rFonts w:cs="Times New Roman"/>
        </w:rPr>
        <w:t>s usuários</w:t>
      </w:r>
      <w:r w:rsidRPr="00425C6E">
        <w:rPr>
          <w:rFonts w:cs="Times New Roman"/>
        </w:rPr>
        <w:t>, observando a segmentação do atendimento por perfil, com o objetivo de conhecer o usuário e propor soluções mais eficazes</w:t>
      </w:r>
      <w:r w:rsidR="00094283" w:rsidRPr="00425C6E">
        <w:rPr>
          <w:rFonts w:cs="Times New Roman"/>
        </w:rPr>
        <w:t>,</w:t>
      </w:r>
      <w:r w:rsidR="00115473" w:rsidRPr="00425C6E">
        <w:rPr>
          <w:rFonts w:cs="Times New Roman"/>
        </w:rPr>
        <w:t xml:space="preserve"> com foco no valor agregado,</w:t>
      </w:r>
      <w:r w:rsidRPr="00425C6E">
        <w:rPr>
          <w:rFonts w:cs="Times New Roman"/>
        </w:rPr>
        <w:t xml:space="preserve"> bem como promover a melhoria na</w:t>
      </w:r>
      <w:r w:rsidR="00115473" w:rsidRPr="00425C6E">
        <w:rPr>
          <w:rFonts w:cs="Times New Roman"/>
        </w:rPr>
        <w:t xml:space="preserve"> experi</w:t>
      </w:r>
      <w:r w:rsidR="0059108D" w:rsidRPr="00425C6E">
        <w:rPr>
          <w:rFonts w:cs="Times New Roman"/>
        </w:rPr>
        <w:t>ê</w:t>
      </w:r>
      <w:r w:rsidR="00115473" w:rsidRPr="00425C6E">
        <w:rPr>
          <w:rFonts w:cs="Times New Roman"/>
        </w:rPr>
        <w:t>ncia do usuário e na</w:t>
      </w:r>
      <w:r w:rsidRPr="00425C6E">
        <w:rPr>
          <w:rFonts w:cs="Times New Roman"/>
        </w:rPr>
        <w:t xml:space="preserve"> oferta de serviços</w:t>
      </w:r>
      <w:r w:rsidR="00115473" w:rsidRPr="00425C6E">
        <w:rPr>
          <w:rFonts w:cs="Times New Roman"/>
        </w:rPr>
        <w:t xml:space="preserve">. </w:t>
      </w:r>
    </w:p>
    <w:p w14:paraId="6179654F" w14:textId="77777777" w:rsidR="00115473" w:rsidRPr="00425C6E" w:rsidRDefault="00115473" w:rsidP="00115473">
      <w:pPr>
        <w:pStyle w:val="Numeraoartigo2"/>
        <w:numPr>
          <w:ilvl w:val="0"/>
          <w:numId w:val="0"/>
        </w:numPr>
        <w:tabs>
          <w:tab w:val="left" w:pos="1985"/>
        </w:tabs>
        <w:ind w:left="1134"/>
        <w:rPr>
          <w:rFonts w:cs="Times New Roman"/>
        </w:rPr>
      </w:pPr>
    </w:p>
    <w:p w14:paraId="6E2F5FF3" w14:textId="41DE26E1" w:rsidR="00C02EDD" w:rsidRPr="00425C6E" w:rsidRDefault="00CB0F55" w:rsidP="004E255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4D0A55" w:rsidRPr="00425C6E">
        <w:rPr>
          <w:rFonts w:ascii="Times New Roman" w:hAnsi="Times New Roman" w:cs="Times New Roman"/>
          <w:b/>
          <w:bCs/>
          <w:sz w:val="24"/>
        </w:rPr>
        <w:t>V</w:t>
      </w:r>
    </w:p>
    <w:p w14:paraId="2A80D3A2" w14:textId="20636C22" w:rsidR="00C02EDD" w:rsidRPr="00425C6E" w:rsidRDefault="00CB0F55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Das Estruturas Organizacionais e Macroprocessos</w:t>
      </w:r>
    </w:p>
    <w:p w14:paraId="7DD9ABFB" w14:textId="77777777" w:rsidR="000F7BB8" w:rsidRPr="00425C6E" w:rsidRDefault="000F7BB8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2B43A620" w14:textId="0FE7C61A" w:rsidR="00C02EDD" w:rsidRPr="00425C6E" w:rsidRDefault="00BC287B" w:rsidP="003A776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bookmarkStart w:id="4" w:name="_Ref42879844"/>
      <w:r w:rsidRPr="00425C6E">
        <w:rPr>
          <w:rFonts w:cs="Times New Roman"/>
        </w:rPr>
        <w:t xml:space="preserve">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</w:t>
      </w:r>
      <w:r w:rsidR="00C02EDD" w:rsidRPr="00425C6E">
        <w:rPr>
          <w:rFonts w:cs="Times New Roman"/>
        </w:rPr>
        <w:t>dever</w:t>
      </w:r>
      <w:r w:rsidRPr="00425C6E">
        <w:rPr>
          <w:rFonts w:cs="Times New Roman"/>
        </w:rPr>
        <w:t xml:space="preserve">á </w:t>
      </w:r>
      <w:r w:rsidR="00C02EDD" w:rsidRPr="00425C6E">
        <w:rPr>
          <w:rFonts w:cs="Times New Roman"/>
        </w:rPr>
        <w:t xml:space="preserve">constituir e manter estruturas organizacionais adequadas e compatíveis </w:t>
      </w:r>
      <w:r w:rsidR="00882171" w:rsidRPr="00425C6E">
        <w:rPr>
          <w:rFonts w:cs="Times New Roman"/>
        </w:rPr>
        <w:t xml:space="preserve">de acordo com a </w:t>
      </w:r>
      <w:r w:rsidR="00C02EDD" w:rsidRPr="00425C6E">
        <w:rPr>
          <w:rFonts w:cs="Times New Roman"/>
        </w:rPr>
        <w:t xml:space="preserve">demanda de </w:t>
      </w:r>
      <w:r w:rsidR="00885037" w:rsidRPr="00425C6E">
        <w:rPr>
          <w:rFonts w:cs="Times New Roman"/>
        </w:rPr>
        <w:t>TIC</w:t>
      </w:r>
      <w:r w:rsidR="00C02EDD" w:rsidRPr="00425C6E">
        <w:rPr>
          <w:rFonts w:cs="Times New Roman"/>
        </w:rPr>
        <w:t xml:space="preserve"> considerando</w:t>
      </w:r>
      <w:r w:rsidR="00DA2DCB" w:rsidRPr="00425C6E">
        <w:rPr>
          <w:rFonts w:cs="Times New Roman"/>
        </w:rPr>
        <w:t>,</w:t>
      </w:r>
      <w:r w:rsidR="00C02EDD" w:rsidRPr="00425C6E">
        <w:rPr>
          <w:rFonts w:cs="Times New Roman"/>
        </w:rPr>
        <w:t xml:space="preserve"> no mínimo, os seguintes macroprocessos:</w:t>
      </w:r>
      <w:bookmarkEnd w:id="4"/>
    </w:p>
    <w:p w14:paraId="5D48DCE9" w14:textId="756EFD13" w:rsidR="00C02EDD" w:rsidRPr="00425C6E" w:rsidRDefault="00F32D7D" w:rsidP="007B1674">
      <w:pPr>
        <w:pStyle w:val="PargrafodaLista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G</w:t>
      </w:r>
      <w:r w:rsidR="00C02EDD" w:rsidRPr="00425C6E">
        <w:rPr>
          <w:rFonts w:ascii="Times New Roman" w:hAnsi="Times New Roman" w:cs="Times New Roman"/>
          <w:sz w:val="24"/>
        </w:rPr>
        <w:t>overnança e gestão</w:t>
      </w:r>
      <w:r w:rsidR="008C741C" w:rsidRPr="00425C6E">
        <w:rPr>
          <w:rFonts w:ascii="Times New Roman" w:hAnsi="Times New Roman" w:cs="Times New Roman"/>
          <w:sz w:val="24"/>
        </w:rPr>
        <w:t xml:space="preserve"> de TIC</w:t>
      </w:r>
      <w:r w:rsidR="00C02EDD" w:rsidRPr="00425C6E">
        <w:rPr>
          <w:rFonts w:ascii="Times New Roman" w:hAnsi="Times New Roman" w:cs="Times New Roman"/>
          <w:sz w:val="24"/>
        </w:rPr>
        <w:t>:</w:t>
      </w:r>
    </w:p>
    <w:p w14:paraId="4F4FB4D4" w14:textId="2BA02C0E" w:rsidR="00C02EDD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Planejamento </w:t>
      </w:r>
      <w:r w:rsidR="0052706B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Gestão</w:t>
      </w:r>
      <w:r w:rsidR="000C6931" w:rsidRPr="00425C6E">
        <w:rPr>
          <w:rFonts w:ascii="Times New Roman" w:hAnsi="Times New Roman" w:cs="Times New Roman"/>
          <w:sz w:val="24"/>
        </w:rPr>
        <w:t>;</w:t>
      </w:r>
    </w:p>
    <w:p w14:paraId="7E651B5F" w14:textId="154022A7" w:rsidR="00F32D7D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Transformação Digital</w:t>
      </w:r>
      <w:r w:rsidR="00E17FFB" w:rsidRPr="00425C6E">
        <w:rPr>
          <w:rFonts w:ascii="Times New Roman" w:hAnsi="Times New Roman" w:cs="Times New Roman"/>
          <w:sz w:val="24"/>
        </w:rPr>
        <w:t xml:space="preserve">, </w:t>
      </w:r>
      <w:r w:rsidRPr="00425C6E">
        <w:rPr>
          <w:rFonts w:ascii="Times New Roman" w:hAnsi="Times New Roman" w:cs="Times New Roman"/>
          <w:sz w:val="24"/>
        </w:rPr>
        <w:t xml:space="preserve">Inovação </w:t>
      </w:r>
      <w:r w:rsidR="00F32D7D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Colaboração</w:t>
      </w:r>
      <w:r w:rsidR="00F32D7D" w:rsidRPr="00425C6E">
        <w:rPr>
          <w:rFonts w:ascii="Times New Roman" w:hAnsi="Times New Roman" w:cs="Times New Roman"/>
          <w:sz w:val="24"/>
        </w:rPr>
        <w:t>;</w:t>
      </w:r>
    </w:p>
    <w:p w14:paraId="3FD90F38" w14:textId="77256921" w:rsidR="00C02EDD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Orçamentária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0529A7E5" w14:textId="602085C7" w:rsidR="00C02EDD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Aquisições </w:t>
      </w:r>
      <w:r w:rsidR="00C02EDD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 xml:space="preserve">Contratações </w:t>
      </w:r>
      <w:r w:rsidR="00C02EDD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Soluções</w:t>
      </w:r>
      <w:r w:rsidR="000C6931" w:rsidRPr="00425C6E">
        <w:rPr>
          <w:rFonts w:ascii="Times New Roman" w:hAnsi="Times New Roman" w:cs="Times New Roman"/>
          <w:sz w:val="24"/>
        </w:rPr>
        <w:t>;</w:t>
      </w:r>
    </w:p>
    <w:p w14:paraId="001384CE" w14:textId="4035B8CE" w:rsidR="008C741C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Projetos </w:t>
      </w:r>
      <w:r w:rsidR="008C741C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Processos</w:t>
      </w:r>
      <w:r w:rsidR="008C741C" w:rsidRPr="00425C6E">
        <w:rPr>
          <w:rFonts w:ascii="Times New Roman" w:hAnsi="Times New Roman" w:cs="Times New Roman"/>
          <w:sz w:val="24"/>
        </w:rPr>
        <w:t>;</w:t>
      </w:r>
    </w:p>
    <w:p w14:paraId="049E626C" w14:textId="081F1361" w:rsidR="00F50EE6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Gestão </w:t>
      </w:r>
      <w:r w:rsidR="00F50EE6" w:rsidRPr="00425C6E">
        <w:rPr>
          <w:rFonts w:ascii="Times New Roman" w:hAnsi="Times New Roman" w:cs="Times New Roman"/>
          <w:sz w:val="24"/>
        </w:rPr>
        <w:t>de competência</w:t>
      </w:r>
      <w:r w:rsidR="001C1837" w:rsidRPr="00425C6E">
        <w:rPr>
          <w:rFonts w:ascii="Times New Roman" w:hAnsi="Times New Roman" w:cs="Times New Roman"/>
          <w:sz w:val="24"/>
        </w:rPr>
        <w:t xml:space="preserve">, de </w:t>
      </w:r>
      <w:r w:rsidRPr="00425C6E">
        <w:rPr>
          <w:rFonts w:ascii="Times New Roman" w:hAnsi="Times New Roman" w:cs="Times New Roman"/>
          <w:sz w:val="24"/>
        </w:rPr>
        <w:t xml:space="preserve">Capacitação </w:t>
      </w:r>
      <w:r w:rsidR="001C1837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Reconhecimento</w:t>
      </w:r>
      <w:r w:rsidR="001C1837" w:rsidRPr="00425C6E">
        <w:rPr>
          <w:rFonts w:ascii="Times New Roman" w:hAnsi="Times New Roman" w:cs="Times New Roman"/>
          <w:sz w:val="24"/>
        </w:rPr>
        <w:t>;</w:t>
      </w:r>
    </w:p>
    <w:p w14:paraId="16ECA3EF" w14:textId="4350CDF4" w:rsidR="00E17FFB" w:rsidRPr="00425C6E" w:rsidRDefault="00682E3A" w:rsidP="007B16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Comunicação </w:t>
      </w:r>
      <w:r w:rsidR="00623DF8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Divulgação</w:t>
      </w:r>
      <w:r w:rsidR="00306E7C" w:rsidRPr="00425C6E">
        <w:rPr>
          <w:rFonts w:ascii="Times New Roman" w:hAnsi="Times New Roman" w:cs="Times New Roman"/>
          <w:sz w:val="24"/>
        </w:rPr>
        <w:t>;</w:t>
      </w:r>
    </w:p>
    <w:p w14:paraId="27309060" w14:textId="3EF016DD" w:rsidR="00C02EDD" w:rsidRPr="00425C6E" w:rsidRDefault="00F32D7D" w:rsidP="007B1674">
      <w:pPr>
        <w:pStyle w:val="PargrafodaLista"/>
        <w:numPr>
          <w:ilvl w:val="0"/>
          <w:numId w:val="7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 S</w:t>
      </w:r>
      <w:r w:rsidR="00C02EDD" w:rsidRPr="00425C6E">
        <w:rPr>
          <w:rFonts w:ascii="Times New Roman" w:hAnsi="Times New Roman" w:cs="Times New Roman"/>
          <w:sz w:val="24"/>
        </w:rPr>
        <w:t xml:space="preserve">egurança da </w:t>
      </w:r>
      <w:r w:rsidR="000F7BB8" w:rsidRPr="00425C6E">
        <w:rPr>
          <w:rFonts w:ascii="Times New Roman" w:hAnsi="Times New Roman" w:cs="Times New Roman"/>
          <w:sz w:val="24"/>
        </w:rPr>
        <w:t>I</w:t>
      </w:r>
      <w:r w:rsidR="00C02EDD" w:rsidRPr="00425C6E">
        <w:rPr>
          <w:rFonts w:ascii="Times New Roman" w:hAnsi="Times New Roman" w:cs="Times New Roman"/>
          <w:sz w:val="24"/>
        </w:rPr>
        <w:t>nformação</w:t>
      </w:r>
      <w:r w:rsidRPr="00425C6E">
        <w:rPr>
          <w:rFonts w:ascii="Times New Roman" w:hAnsi="Times New Roman" w:cs="Times New Roman"/>
          <w:sz w:val="24"/>
        </w:rPr>
        <w:t xml:space="preserve"> e Proteção de </w:t>
      </w:r>
      <w:r w:rsidR="00682E3A" w:rsidRPr="00425C6E">
        <w:rPr>
          <w:rFonts w:ascii="Times New Roman" w:hAnsi="Times New Roman" w:cs="Times New Roman"/>
          <w:sz w:val="24"/>
        </w:rPr>
        <w:t>Dados</w:t>
      </w:r>
      <w:r w:rsidR="00C02EDD" w:rsidRPr="00425C6E">
        <w:rPr>
          <w:rFonts w:ascii="Times New Roman" w:hAnsi="Times New Roman" w:cs="Times New Roman"/>
          <w:sz w:val="24"/>
        </w:rPr>
        <w:t>:</w:t>
      </w:r>
    </w:p>
    <w:p w14:paraId="0E7D191F" w14:textId="64118740" w:rsidR="00C02EDD" w:rsidRPr="00425C6E" w:rsidRDefault="00682E3A" w:rsidP="007B167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Incidentes </w:t>
      </w:r>
      <w:r w:rsidR="00C02EDD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Segurança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703972AE" w14:textId="045C99A8" w:rsidR="00C02EDD" w:rsidRPr="00425C6E" w:rsidRDefault="00682E3A" w:rsidP="007B167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Riscos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43896ABB" w14:textId="1EFFA032" w:rsidR="00E17FFB" w:rsidRPr="00425C6E" w:rsidRDefault="00682E3A" w:rsidP="007B167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Continuidade </w:t>
      </w:r>
      <w:r w:rsidR="00E17FFB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Serviços Essenciais</w:t>
      </w:r>
      <w:r w:rsidR="00E17FFB" w:rsidRPr="00425C6E">
        <w:rPr>
          <w:rFonts w:ascii="Times New Roman" w:hAnsi="Times New Roman" w:cs="Times New Roman"/>
          <w:sz w:val="24"/>
        </w:rPr>
        <w:t>;</w:t>
      </w:r>
    </w:p>
    <w:p w14:paraId="19B89C38" w14:textId="3460727E" w:rsidR="00C20C28" w:rsidRPr="00425C6E" w:rsidRDefault="00682E3A" w:rsidP="007B167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Segurança </w:t>
      </w:r>
      <w:r w:rsidR="00E17FFB" w:rsidRPr="00425C6E">
        <w:rPr>
          <w:rFonts w:ascii="Times New Roman" w:hAnsi="Times New Roman" w:cs="Times New Roman"/>
          <w:sz w:val="24"/>
        </w:rPr>
        <w:t xml:space="preserve">dos </w:t>
      </w:r>
      <w:r w:rsidRPr="00425C6E">
        <w:rPr>
          <w:rFonts w:ascii="Times New Roman" w:hAnsi="Times New Roman" w:cs="Times New Roman"/>
          <w:sz w:val="24"/>
        </w:rPr>
        <w:t xml:space="preserve">Serviços </w:t>
      </w:r>
      <w:r w:rsidR="007A51AC" w:rsidRPr="00425C6E">
        <w:rPr>
          <w:rFonts w:ascii="Times New Roman" w:hAnsi="Times New Roman" w:cs="Times New Roman"/>
          <w:sz w:val="24"/>
        </w:rPr>
        <w:t xml:space="preserve">em </w:t>
      </w:r>
      <w:r w:rsidRPr="00425C6E">
        <w:rPr>
          <w:rFonts w:ascii="Times New Roman" w:hAnsi="Times New Roman" w:cs="Times New Roman"/>
          <w:sz w:val="24"/>
        </w:rPr>
        <w:t>Nuvem</w:t>
      </w:r>
      <w:r w:rsidR="009E6672" w:rsidRPr="00425C6E">
        <w:rPr>
          <w:rFonts w:ascii="Times New Roman" w:hAnsi="Times New Roman" w:cs="Times New Roman"/>
          <w:sz w:val="24"/>
        </w:rPr>
        <w:t>;</w:t>
      </w:r>
    </w:p>
    <w:p w14:paraId="66F174CB" w14:textId="7BE66D65" w:rsidR="00C02EDD" w:rsidRPr="00425C6E" w:rsidRDefault="00B97F29" w:rsidP="007B1674">
      <w:pPr>
        <w:pStyle w:val="PargrafodaLista"/>
        <w:numPr>
          <w:ilvl w:val="0"/>
          <w:numId w:val="7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Desenvolvimento de Soluções</w:t>
      </w:r>
      <w:r w:rsidR="00AD1D86" w:rsidRPr="00425C6E">
        <w:rPr>
          <w:rFonts w:ascii="Times New Roman" w:hAnsi="Times New Roman" w:cs="Times New Roman"/>
          <w:sz w:val="24"/>
        </w:rPr>
        <w:t xml:space="preserve"> e Aplicações</w:t>
      </w:r>
      <w:r w:rsidR="00C02EDD" w:rsidRPr="00425C6E">
        <w:rPr>
          <w:rFonts w:ascii="Times New Roman" w:hAnsi="Times New Roman" w:cs="Times New Roman"/>
          <w:sz w:val="24"/>
        </w:rPr>
        <w:t>:</w:t>
      </w:r>
    </w:p>
    <w:p w14:paraId="581A8C0D" w14:textId="7301F82E" w:rsidR="00C02EDD" w:rsidRPr="00425C6E" w:rsidRDefault="00682E3A" w:rsidP="007B16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Escopo </w:t>
      </w:r>
      <w:r w:rsidR="00C02EDD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Requisitos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0D7BB5AD" w14:textId="2B840A2C" w:rsidR="00C02EDD" w:rsidRPr="00425C6E" w:rsidRDefault="00682E3A" w:rsidP="007B16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Arquitetura</w:t>
      </w:r>
      <w:r w:rsidR="000C6931" w:rsidRPr="00425C6E">
        <w:rPr>
          <w:rFonts w:ascii="Times New Roman" w:hAnsi="Times New Roman" w:cs="Times New Roman"/>
          <w:sz w:val="24"/>
        </w:rPr>
        <w:t>;</w:t>
      </w:r>
    </w:p>
    <w:p w14:paraId="5DF5775A" w14:textId="06DC53F3" w:rsidR="000C6931" w:rsidRPr="00425C6E" w:rsidRDefault="00682E3A" w:rsidP="007B16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Processos </w:t>
      </w:r>
      <w:r w:rsidR="00C02EDD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 xml:space="preserve">Desenvolvimento </w:t>
      </w:r>
      <w:r w:rsidR="00C02EDD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>Sustentação</w:t>
      </w:r>
      <w:r w:rsidR="00C02EDD" w:rsidRPr="00425C6E">
        <w:rPr>
          <w:rFonts w:ascii="Times New Roman" w:hAnsi="Times New Roman" w:cs="Times New Roman"/>
          <w:sz w:val="24"/>
        </w:rPr>
        <w:t xml:space="preserve">; </w:t>
      </w:r>
    </w:p>
    <w:p w14:paraId="413D8901" w14:textId="26A12C05" w:rsidR="00AC5AC2" w:rsidRPr="00425C6E" w:rsidRDefault="00682E3A" w:rsidP="007B167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Ciclo </w:t>
      </w:r>
      <w:r w:rsidR="00B65065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 xml:space="preserve">Vida </w:t>
      </w:r>
      <w:r w:rsidR="00AC5AC2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Desenvolvimento Seguro</w:t>
      </w:r>
      <w:r w:rsidR="00AC5AC2" w:rsidRPr="00425C6E">
        <w:rPr>
          <w:rFonts w:ascii="Times New Roman" w:hAnsi="Times New Roman" w:cs="Times New Roman"/>
          <w:sz w:val="24"/>
        </w:rPr>
        <w:t>.</w:t>
      </w:r>
    </w:p>
    <w:p w14:paraId="2CF098CE" w14:textId="618B7AC2" w:rsidR="00C02EDD" w:rsidRPr="00425C6E" w:rsidRDefault="00E17FFB" w:rsidP="007B1674">
      <w:pPr>
        <w:pStyle w:val="PargrafodaLista"/>
        <w:numPr>
          <w:ilvl w:val="0"/>
          <w:numId w:val="7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Infraestrutura e S</w:t>
      </w:r>
      <w:r w:rsidR="00C02EDD" w:rsidRPr="00425C6E">
        <w:rPr>
          <w:rFonts w:ascii="Times New Roman" w:hAnsi="Times New Roman" w:cs="Times New Roman"/>
          <w:sz w:val="24"/>
        </w:rPr>
        <w:t>erviços:</w:t>
      </w:r>
    </w:p>
    <w:p w14:paraId="6D08CA0E" w14:textId="14C3BA08" w:rsidR="00C02EDD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Disponibilidade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053C6005" w14:textId="15CC1C70" w:rsidR="00C02EDD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Capacidade</w:t>
      </w:r>
      <w:r w:rsidR="00C02EDD" w:rsidRPr="00425C6E">
        <w:rPr>
          <w:rFonts w:ascii="Times New Roman" w:hAnsi="Times New Roman" w:cs="Times New Roman"/>
          <w:sz w:val="24"/>
        </w:rPr>
        <w:t>;</w:t>
      </w:r>
    </w:p>
    <w:p w14:paraId="783C46B3" w14:textId="1442FC9D" w:rsidR="00C02EDD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Ativos </w:t>
      </w:r>
      <w:r w:rsidR="00C02EDD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Infraestrutura</w:t>
      </w:r>
      <w:r w:rsidR="00703140" w:rsidRPr="00425C6E">
        <w:rPr>
          <w:rFonts w:ascii="Times New Roman" w:hAnsi="Times New Roman" w:cs="Times New Roman"/>
          <w:sz w:val="24"/>
        </w:rPr>
        <w:t xml:space="preserve">, de </w:t>
      </w:r>
      <w:r w:rsidRPr="00425C6E">
        <w:rPr>
          <w:rFonts w:ascii="Times New Roman" w:hAnsi="Times New Roman" w:cs="Times New Roman"/>
          <w:sz w:val="24"/>
        </w:rPr>
        <w:t xml:space="preserve">Tecnologia </w:t>
      </w:r>
      <w:r w:rsidR="00703140" w:rsidRPr="00425C6E">
        <w:rPr>
          <w:rFonts w:ascii="Times New Roman" w:hAnsi="Times New Roman" w:cs="Times New Roman"/>
          <w:sz w:val="24"/>
        </w:rPr>
        <w:t xml:space="preserve">da </w:t>
      </w:r>
      <w:r w:rsidRPr="00425C6E">
        <w:rPr>
          <w:rFonts w:ascii="Times New Roman" w:hAnsi="Times New Roman" w:cs="Times New Roman"/>
          <w:sz w:val="24"/>
        </w:rPr>
        <w:t xml:space="preserve">Informação </w:t>
      </w:r>
      <w:r w:rsidR="00C02EDD" w:rsidRPr="00425C6E">
        <w:rPr>
          <w:rFonts w:ascii="Times New Roman" w:hAnsi="Times New Roman" w:cs="Times New Roman"/>
          <w:sz w:val="24"/>
        </w:rPr>
        <w:t xml:space="preserve">e de </w:t>
      </w:r>
      <w:r w:rsidRPr="00425C6E">
        <w:rPr>
          <w:rFonts w:ascii="Times New Roman" w:hAnsi="Times New Roman" w:cs="Times New Roman"/>
          <w:sz w:val="24"/>
        </w:rPr>
        <w:t>Telecomunicação Corporativas</w:t>
      </w:r>
      <w:r w:rsidR="009E6672" w:rsidRPr="00425C6E">
        <w:rPr>
          <w:rFonts w:ascii="Times New Roman" w:hAnsi="Times New Roman" w:cs="Times New Roman"/>
          <w:sz w:val="24"/>
        </w:rPr>
        <w:t>;</w:t>
      </w:r>
    </w:p>
    <w:p w14:paraId="49D75796" w14:textId="398935C1" w:rsidR="00E17FFB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Catálogo</w:t>
      </w:r>
      <w:r w:rsidR="00E17FFB" w:rsidRPr="00425C6E">
        <w:rPr>
          <w:rFonts w:ascii="Times New Roman" w:hAnsi="Times New Roman" w:cs="Times New Roman"/>
          <w:sz w:val="24"/>
        </w:rPr>
        <w:t>;</w:t>
      </w:r>
    </w:p>
    <w:p w14:paraId="6547FC97" w14:textId="2D2D5635" w:rsidR="00E17FFB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Requisições</w:t>
      </w:r>
      <w:r w:rsidR="00E17FFB" w:rsidRPr="00425C6E">
        <w:rPr>
          <w:rFonts w:ascii="Times New Roman" w:hAnsi="Times New Roman" w:cs="Times New Roman"/>
          <w:sz w:val="24"/>
        </w:rPr>
        <w:t>;</w:t>
      </w:r>
    </w:p>
    <w:p w14:paraId="15B22AAA" w14:textId="1FC032F5" w:rsidR="00E17FFB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Incidentes</w:t>
      </w:r>
      <w:r w:rsidR="00E17FFB" w:rsidRPr="00425C6E">
        <w:rPr>
          <w:rFonts w:ascii="Times New Roman" w:hAnsi="Times New Roman" w:cs="Times New Roman"/>
          <w:sz w:val="24"/>
        </w:rPr>
        <w:t>;</w:t>
      </w:r>
    </w:p>
    <w:p w14:paraId="0A61C427" w14:textId="7E8520F3" w:rsidR="00E17FFB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Central </w:t>
      </w:r>
      <w:r w:rsidR="00E17FFB" w:rsidRPr="00425C6E">
        <w:rPr>
          <w:rFonts w:ascii="Times New Roman" w:hAnsi="Times New Roman" w:cs="Times New Roman"/>
          <w:sz w:val="24"/>
        </w:rPr>
        <w:t xml:space="preserve">de </w:t>
      </w:r>
      <w:r w:rsidRPr="00425C6E">
        <w:rPr>
          <w:rFonts w:ascii="Times New Roman" w:hAnsi="Times New Roman" w:cs="Times New Roman"/>
          <w:sz w:val="24"/>
        </w:rPr>
        <w:t>Serviços</w:t>
      </w:r>
      <w:r w:rsidR="00E17FFB" w:rsidRPr="00425C6E">
        <w:rPr>
          <w:rFonts w:ascii="Times New Roman" w:hAnsi="Times New Roman" w:cs="Times New Roman"/>
          <w:sz w:val="24"/>
        </w:rPr>
        <w:t>;</w:t>
      </w:r>
    </w:p>
    <w:p w14:paraId="63AECE7A" w14:textId="5A9E857B" w:rsidR="00E17FFB" w:rsidRPr="00425C6E" w:rsidRDefault="00682E3A" w:rsidP="007B167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Atendimento</w:t>
      </w:r>
      <w:r w:rsidR="00E17FFB" w:rsidRPr="00425C6E">
        <w:rPr>
          <w:rFonts w:ascii="Times New Roman" w:hAnsi="Times New Roman" w:cs="Times New Roman"/>
          <w:sz w:val="24"/>
        </w:rPr>
        <w:t xml:space="preserve">, </w:t>
      </w:r>
      <w:r w:rsidRPr="00425C6E">
        <w:rPr>
          <w:rFonts w:ascii="Times New Roman" w:hAnsi="Times New Roman" w:cs="Times New Roman"/>
          <w:sz w:val="24"/>
        </w:rPr>
        <w:t xml:space="preserve">Experiência </w:t>
      </w:r>
      <w:r w:rsidR="00E17FFB" w:rsidRPr="00425C6E">
        <w:rPr>
          <w:rFonts w:ascii="Times New Roman" w:hAnsi="Times New Roman" w:cs="Times New Roman"/>
          <w:sz w:val="24"/>
        </w:rPr>
        <w:t xml:space="preserve">e </w:t>
      </w:r>
      <w:r w:rsidRPr="00425C6E">
        <w:rPr>
          <w:rFonts w:ascii="Times New Roman" w:hAnsi="Times New Roman" w:cs="Times New Roman"/>
          <w:sz w:val="24"/>
        </w:rPr>
        <w:t xml:space="preserve">Satisfação </w:t>
      </w:r>
      <w:r w:rsidR="00E17FFB" w:rsidRPr="00425C6E">
        <w:rPr>
          <w:rFonts w:ascii="Times New Roman" w:hAnsi="Times New Roman" w:cs="Times New Roman"/>
          <w:sz w:val="24"/>
        </w:rPr>
        <w:t xml:space="preserve">do </w:t>
      </w:r>
      <w:r w:rsidRPr="00425C6E">
        <w:rPr>
          <w:rFonts w:ascii="Times New Roman" w:hAnsi="Times New Roman" w:cs="Times New Roman"/>
          <w:sz w:val="24"/>
        </w:rPr>
        <w:t>Usuário</w:t>
      </w:r>
      <w:r w:rsidR="00882171" w:rsidRPr="00425C6E">
        <w:rPr>
          <w:rFonts w:ascii="Times New Roman" w:hAnsi="Times New Roman" w:cs="Times New Roman"/>
          <w:sz w:val="24"/>
        </w:rPr>
        <w:t>.</w:t>
      </w:r>
    </w:p>
    <w:p w14:paraId="1BC5F4E5" w14:textId="18671220" w:rsidR="00BC287B" w:rsidRPr="00425C6E" w:rsidRDefault="00612CE1" w:rsidP="0090236D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As estruturas organizacionais de que tratam o caput deverão privilegiar a departamentalização por função e possuir níveis hierárquicos de decisão, quais sejam estratégicos ou institucionais, táticos ou gerenciais, e operacionais, a fim de garantir a plena execução dos macroprocessos. </w:t>
      </w:r>
    </w:p>
    <w:p w14:paraId="1CD3CCB5" w14:textId="59D90D42" w:rsidR="00612CE1" w:rsidRPr="00425C6E" w:rsidRDefault="00612CE1" w:rsidP="00BC287B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estrutura organizacional, o quadro permanente de servidores, a gestão de ativos e os processos de gestão de trabalho da área de TIC de 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deverão </w:t>
      </w:r>
      <w:r w:rsidR="00AC02E9" w:rsidRPr="00425C6E">
        <w:rPr>
          <w:rFonts w:cs="Times New Roman"/>
        </w:rPr>
        <w:t>estar adequados às melhores práticas para as atividades consideradas como estratégicas</w:t>
      </w:r>
      <w:r w:rsidR="00064E37" w:rsidRPr="00425C6E">
        <w:rPr>
          <w:rFonts w:cs="Times New Roman"/>
        </w:rPr>
        <w:t>.</w:t>
      </w:r>
      <w:r w:rsidR="00AC02E9" w:rsidRPr="00425C6E">
        <w:rPr>
          <w:rFonts w:cs="Times New Roman"/>
        </w:rPr>
        <w:t xml:space="preserve"> </w:t>
      </w:r>
      <w:r w:rsidR="00B86DE5" w:rsidRPr="00425C6E">
        <w:rPr>
          <w:rFonts w:cs="Times New Roman"/>
        </w:rPr>
        <w:t>Deve-se observar</w:t>
      </w:r>
      <w:r w:rsidR="00064E37" w:rsidRPr="00425C6E">
        <w:rPr>
          <w:rFonts w:cs="Times New Roman"/>
        </w:rPr>
        <w:t xml:space="preserve"> sempre as </w:t>
      </w:r>
      <w:r w:rsidR="00AC02E9" w:rsidRPr="00425C6E">
        <w:rPr>
          <w:rFonts w:cs="Times New Roman"/>
        </w:rPr>
        <w:t xml:space="preserve">diretrizes </w:t>
      </w:r>
      <w:r w:rsidR="007D7675" w:rsidRPr="00425C6E">
        <w:rPr>
          <w:rFonts w:cs="Times New Roman"/>
        </w:rPr>
        <w:t>tanto na</w:t>
      </w:r>
      <w:r w:rsidR="00C62D70" w:rsidRPr="00425C6E">
        <w:rPr>
          <w:rFonts w:cs="Times New Roman"/>
        </w:rPr>
        <w:t xml:space="preserve"> </w:t>
      </w:r>
      <w:r w:rsidR="00AC02E9" w:rsidRPr="00425C6E">
        <w:rPr>
          <w:rFonts w:cs="Times New Roman"/>
        </w:rPr>
        <w:t>definição d</w:t>
      </w:r>
      <w:r w:rsidRPr="00425C6E">
        <w:rPr>
          <w:rFonts w:cs="Times New Roman"/>
        </w:rPr>
        <w:t>a estrutura organizacional de TIC</w:t>
      </w:r>
      <w:r w:rsidR="00064E37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com</w:t>
      </w:r>
      <w:r w:rsidR="00064E37" w:rsidRPr="00425C6E">
        <w:rPr>
          <w:rFonts w:cs="Times New Roman"/>
        </w:rPr>
        <w:t xml:space="preserve">o </w:t>
      </w:r>
      <w:r w:rsidR="007D7675" w:rsidRPr="00425C6E">
        <w:rPr>
          <w:rFonts w:cs="Times New Roman"/>
        </w:rPr>
        <w:t>n</w:t>
      </w:r>
      <w:r w:rsidR="00064E37" w:rsidRPr="00425C6E">
        <w:rPr>
          <w:rFonts w:cs="Times New Roman"/>
        </w:rPr>
        <w:t>os</w:t>
      </w:r>
      <w:r w:rsidRPr="00425C6E">
        <w:rPr>
          <w:rFonts w:cs="Times New Roman"/>
        </w:rPr>
        <w:t xml:space="preserve"> pap</w:t>
      </w:r>
      <w:r w:rsidR="00276245" w:rsidRPr="00425C6E">
        <w:rPr>
          <w:rFonts w:cs="Times New Roman"/>
        </w:rPr>
        <w:t>é</w:t>
      </w:r>
      <w:r w:rsidRPr="00425C6E">
        <w:rPr>
          <w:rFonts w:cs="Times New Roman"/>
        </w:rPr>
        <w:t>is</w:t>
      </w:r>
      <w:r w:rsidR="006330CD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responsabilidades</w:t>
      </w:r>
      <w:r w:rsidR="00BC287B" w:rsidRPr="00425C6E">
        <w:rPr>
          <w:rFonts w:cs="Times New Roman"/>
        </w:rPr>
        <w:t xml:space="preserve"> e </w:t>
      </w:r>
      <w:r w:rsidR="00AC02E9" w:rsidRPr="00425C6E">
        <w:rPr>
          <w:rFonts w:cs="Times New Roman"/>
        </w:rPr>
        <w:t>revisão bienal</w:t>
      </w:r>
      <w:r w:rsidRPr="00425C6E">
        <w:rPr>
          <w:rFonts w:cs="Times New Roman"/>
        </w:rPr>
        <w:t>, compatibilizando a estrutura com as demanda</w:t>
      </w:r>
      <w:r w:rsidR="00BC287B" w:rsidRPr="00425C6E">
        <w:rPr>
          <w:rFonts w:cs="Times New Roman"/>
        </w:rPr>
        <w:t>s</w:t>
      </w:r>
      <w:r w:rsidR="00064E37" w:rsidRPr="00425C6E">
        <w:rPr>
          <w:rFonts w:cs="Times New Roman"/>
        </w:rPr>
        <w:t xml:space="preserve"> estabelecidas</w:t>
      </w:r>
      <w:r w:rsidR="00865D7C" w:rsidRPr="00425C6E">
        <w:rPr>
          <w:rFonts w:cs="Times New Roman"/>
        </w:rPr>
        <w:t>.</w:t>
      </w:r>
    </w:p>
    <w:p w14:paraId="28F6F9B8" w14:textId="0E7F3B30" w:rsidR="00C02EDD" w:rsidRPr="00425C6E" w:rsidRDefault="00AC02E9" w:rsidP="00AC02E9">
      <w:pPr>
        <w:pStyle w:val="Artigopargrafos"/>
        <w:numPr>
          <w:ilvl w:val="0"/>
          <w:numId w:val="0"/>
        </w:numPr>
        <w:tabs>
          <w:tab w:val="left" w:pos="1701"/>
        </w:tabs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</w:t>
      </w:r>
      <w:r w:rsidR="00C02EDD" w:rsidRPr="00425C6E">
        <w:rPr>
          <w:rFonts w:cs="Times New Roman"/>
        </w:rPr>
        <w:t>A coordenação dos macroprocessos</w:t>
      </w:r>
      <w:r w:rsidR="002F7C02" w:rsidRPr="00425C6E">
        <w:rPr>
          <w:rFonts w:cs="Times New Roman"/>
        </w:rPr>
        <w:t xml:space="preserve"> de TIC</w:t>
      </w:r>
      <w:r w:rsidR="00C02EDD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e as funções gerenciais </w:t>
      </w:r>
      <w:r w:rsidR="00C02EDD" w:rsidRPr="00425C6E">
        <w:rPr>
          <w:rFonts w:cs="Times New Roman"/>
        </w:rPr>
        <w:t>dever</w:t>
      </w:r>
      <w:r w:rsidRPr="00425C6E">
        <w:rPr>
          <w:rFonts w:cs="Times New Roman"/>
        </w:rPr>
        <w:t xml:space="preserve">ão </w:t>
      </w:r>
      <w:r w:rsidR="00C02EDD" w:rsidRPr="00425C6E">
        <w:rPr>
          <w:rFonts w:cs="Times New Roman"/>
        </w:rPr>
        <w:t>ser executada</w:t>
      </w:r>
      <w:r w:rsidRPr="00425C6E">
        <w:rPr>
          <w:rFonts w:cs="Times New Roman"/>
        </w:rPr>
        <w:t>s</w:t>
      </w:r>
      <w:r w:rsidR="00C62D70" w:rsidRPr="00425C6E">
        <w:rPr>
          <w:rFonts w:cs="Times New Roman"/>
        </w:rPr>
        <w:t xml:space="preserve"> </w:t>
      </w:r>
      <w:r w:rsidR="00B86DE5" w:rsidRPr="00425C6E">
        <w:rPr>
          <w:rFonts w:cs="Times New Roman"/>
        </w:rPr>
        <w:t xml:space="preserve">preferencialmente </w:t>
      </w:r>
      <w:r w:rsidR="00C02EDD" w:rsidRPr="00425C6E">
        <w:rPr>
          <w:rFonts w:cs="Times New Roman"/>
        </w:rPr>
        <w:t xml:space="preserve">por servidores do quadro permanente do </w:t>
      </w:r>
      <w:r w:rsidR="00C70AEA" w:rsidRPr="00425C6E">
        <w:rPr>
          <w:rFonts w:cs="Times New Roman"/>
        </w:rPr>
        <w:t>órgão</w:t>
      </w:r>
      <w:r w:rsidR="00C02EDD" w:rsidRPr="00425C6E">
        <w:rPr>
          <w:rFonts w:cs="Times New Roman"/>
        </w:rPr>
        <w:t xml:space="preserve"> e em regime de dedicação exclusiva</w:t>
      </w:r>
      <w:r w:rsidRPr="00425C6E">
        <w:rPr>
          <w:rFonts w:cs="Times New Roman"/>
        </w:rPr>
        <w:t>.</w:t>
      </w:r>
    </w:p>
    <w:p w14:paraId="3E9BC963" w14:textId="77777777" w:rsidR="00151BC2" w:rsidRPr="00425C6E" w:rsidRDefault="00151BC2" w:rsidP="0052479E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3EFEAF5C" w14:textId="1C937C87" w:rsidR="00C02EDD" w:rsidRPr="00425C6E" w:rsidRDefault="00CB0F55" w:rsidP="00C05E5A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4D0A55" w:rsidRPr="00425C6E">
        <w:rPr>
          <w:rFonts w:ascii="Times New Roman" w:hAnsi="Times New Roman" w:cs="Times New Roman"/>
          <w:b/>
          <w:bCs/>
          <w:sz w:val="24"/>
        </w:rPr>
        <w:t>V</w:t>
      </w:r>
      <w:r w:rsidR="00F82C08" w:rsidRPr="00425C6E">
        <w:rPr>
          <w:rFonts w:ascii="Times New Roman" w:hAnsi="Times New Roman" w:cs="Times New Roman"/>
          <w:b/>
          <w:bCs/>
          <w:sz w:val="24"/>
        </w:rPr>
        <w:t>I</w:t>
      </w:r>
    </w:p>
    <w:p w14:paraId="4B9A324A" w14:textId="2F399832" w:rsidR="00C02EDD" w:rsidRPr="00425C6E" w:rsidRDefault="00CB0F55" w:rsidP="004E255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Das Pessoas</w:t>
      </w:r>
    </w:p>
    <w:p w14:paraId="5C7622DF" w14:textId="77777777" w:rsidR="00C37EE2" w:rsidRPr="00425C6E" w:rsidRDefault="00C37EE2" w:rsidP="004E255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58820DD" w14:textId="31180F96" w:rsidR="00C02EDD" w:rsidRPr="00425C6E" w:rsidRDefault="00C02EDD" w:rsidP="003A776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compor o seu quadro permanente com servidores que exercerão atividades voltadas exclusivamente para a área de </w:t>
      </w:r>
      <w:r w:rsidR="00EF1C4D" w:rsidRPr="00425C6E">
        <w:rPr>
          <w:rFonts w:cs="Times New Roman"/>
        </w:rPr>
        <w:t>TIC.</w:t>
      </w:r>
    </w:p>
    <w:p w14:paraId="0261B247" w14:textId="145668DB" w:rsidR="00C02EDD" w:rsidRPr="00425C6E" w:rsidRDefault="00C02EDD" w:rsidP="007B1674">
      <w:pPr>
        <w:pStyle w:val="Artigopargrafos"/>
        <w:numPr>
          <w:ilvl w:val="0"/>
          <w:numId w:val="19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quadro permanente de servidores de que trata o caput deverá ser compatível com a demanda, adotando-se como critérios para fixar o quantitativo necessário </w:t>
      </w:r>
      <w:r w:rsidR="5808D334" w:rsidRPr="00425C6E">
        <w:rPr>
          <w:rFonts w:cs="Times New Roman"/>
        </w:rPr>
        <w:t>com base n</w:t>
      </w:r>
      <w:r w:rsidRPr="00425C6E">
        <w:rPr>
          <w:rFonts w:cs="Times New Roman"/>
        </w:rPr>
        <w:t xml:space="preserve">o número de usuários internos e externos de recursos de TIC, bem como o referencial mínimo estabelecido no </w:t>
      </w:r>
      <w:r w:rsidR="009F7AFD" w:rsidRPr="00425C6E">
        <w:rPr>
          <w:rFonts w:cs="Times New Roman"/>
        </w:rPr>
        <w:t>Guia</w:t>
      </w:r>
      <w:r w:rsidRPr="00425C6E">
        <w:rPr>
          <w:rFonts w:cs="Times New Roman"/>
        </w:rPr>
        <w:t>.</w:t>
      </w:r>
    </w:p>
    <w:p w14:paraId="723DD117" w14:textId="5343A34D" w:rsidR="006E6AFC" w:rsidRPr="00425C6E" w:rsidRDefault="006E6AFC" w:rsidP="007B1674">
      <w:pPr>
        <w:pStyle w:val="Artigopargrafos"/>
        <w:numPr>
          <w:ilvl w:val="0"/>
          <w:numId w:val="19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referencial mínimo contido no </w:t>
      </w:r>
      <w:r w:rsidR="0095425B" w:rsidRPr="00425C6E">
        <w:rPr>
          <w:rFonts w:cs="Times New Roman"/>
        </w:rPr>
        <w:t>G</w:t>
      </w:r>
      <w:r w:rsidR="00C757ED" w:rsidRPr="00425C6E">
        <w:rPr>
          <w:rFonts w:cs="Times New Roman"/>
        </w:rPr>
        <w:t>uia</w:t>
      </w:r>
      <w:r w:rsidR="00EC1E29" w:rsidRPr="00425C6E">
        <w:rPr>
          <w:rFonts w:cs="Times New Roman"/>
        </w:rPr>
        <w:t xml:space="preserve"> poderá ser redimensionado </w:t>
      </w:r>
      <w:r w:rsidRPr="00425C6E">
        <w:rPr>
          <w:rFonts w:cs="Times New Roman"/>
        </w:rPr>
        <w:t xml:space="preserve">com base em estudos que justifiquem a necessidade </w:t>
      </w:r>
      <w:r w:rsidR="007E241F" w:rsidRPr="00425C6E">
        <w:rPr>
          <w:rFonts w:cs="Times New Roman"/>
        </w:rPr>
        <w:t xml:space="preserve">de </w:t>
      </w:r>
      <w:r w:rsidRPr="00425C6E">
        <w:rPr>
          <w:rFonts w:cs="Times New Roman"/>
        </w:rPr>
        <w:t>ajuste, considerando ainda aspectos como o portfólio de projetos e serviços, o orçamento destinado à área de TIC, além de considerar outros esforços de TIC e as especificidades de cada segmento de Justiça.</w:t>
      </w:r>
    </w:p>
    <w:p w14:paraId="49540499" w14:textId="3D4EE334" w:rsidR="00772D7F" w:rsidRPr="00425C6E" w:rsidRDefault="000C2508" w:rsidP="00C84B0F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Caberá ao órgão elaborar a proposta de </w:t>
      </w:r>
      <w:r w:rsidR="00772D7F" w:rsidRPr="00425C6E">
        <w:rPr>
          <w:rFonts w:cs="Times New Roman"/>
        </w:rPr>
        <w:t>gratificação e reconhecimento dos servidores da área de TIC, propiciando oportunidade de crescimento profissional</w:t>
      </w:r>
      <w:r w:rsidR="00CB2251" w:rsidRPr="00425C6E">
        <w:rPr>
          <w:rFonts w:cs="Times New Roman"/>
        </w:rPr>
        <w:t xml:space="preserve"> </w:t>
      </w:r>
      <w:r w:rsidR="70851697" w:rsidRPr="00425C6E">
        <w:rPr>
          <w:rFonts w:cs="Times New Roman"/>
        </w:rPr>
        <w:t>direcionada</w:t>
      </w:r>
      <w:r w:rsidR="00772D7F" w:rsidRPr="00425C6E">
        <w:rPr>
          <w:rFonts w:cs="Times New Roman"/>
        </w:rPr>
        <w:t xml:space="preserve"> aos servidores do quadro permanente do </w:t>
      </w:r>
      <w:r w:rsidR="00C70AEA" w:rsidRPr="00425C6E">
        <w:rPr>
          <w:rFonts w:cs="Times New Roman"/>
        </w:rPr>
        <w:t>órgão</w:t>
      </w:r>
      <w:r w:rsidR="00772D7F" w:rsidRPr="00425C6E">
        <w:rPr>
          <w:rFonts w:cs="Times New Roman"/>
        </w:rPr>
        <w:t xml:space="preserve"> nas áreas de TIC.</w:t>
      </w:r>
    </w:p>
    <w:p w14:paraId="7D955C39" w14:textId="5B192D66" w:rsidR="00C02EDD" w:rsidRPr="00425C6E" w:rsidRDefault="00C02EDD" w:rsidP="007B1674">
      <w:pPr>
        <w:pStyle w:val="Artigopargrafos"/>
        <w:numPr>
          <w:ilvl w:val="0"/>
          <w:numId w:val="20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percepção da gratificação específica difere daquela associada ao exercício das funções gerenciais da estrutura </w:t>
      </w:r>
      <w:r w:rsidR="000C6931" w:rsidRPr="00425C6E">
        <w:rPr>
          <w:rFonts w:cs="Times New Roman"/>
        </w:rPr>
        <w:t>organizacional</w:t>
      </w:r>
      <w:r w:rsidR="00CB6052" w:rsidRPr="00425C6E">
        <w:rPr>
          <w:rFonts w:cs="Times New Roman"/>
        </w:rPr>
        <w:t xml:space="preserve"> e possui caráter de incentivo </w:t>
      </w:r>
      <w:r w:rsidR="009D42FB" w:rsidRPr="00425C6E">
        <w:rPr>
          <w:rFonts w:cs="Times New Roman"/>
        </w:rPr>
        <w:t xml:space="preserve">ao desempenho </w:t>
      </w:r>
      <w:r w:rsidR="00CB6052" w:rsidRPr="00425C6E">
        <w:rPr>
          <w:rFonts w:cs="Times New Roman"/>
        </w:rPr>
        <w:t>e retenção de talentos na área de TIC.</w:t>
      </w:r>
    </w:p>
    <w:p w14:paraId="2A55855B" w14:textId="2CF4C450" w:rsidR="00B839A1" w:rsidRPr="00425C6E" w:rsidRDefault="00552B71" w:rsidP="00F97BB1">
      <w:pPr>
        <w:pStyle w:val="Artigopargrafos"/>
        <w:numPr>
          <w:ilvl w:val="0"/>
          <w:numId w:val="20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 </w:t>
      </w:r>
      <w:r w:rsidR="00B839A1" w:rsidRPr="00425C6E">
        <w:rPr>
          <w:rFonts w:cs="Times New Roman"/>
        </w:rPr>
        <w:t>A gratificação deverá ser destinada aos servidores do quadro permanente do órgão, nas áreas de TIC e lotados nas unidades diretamente subordinadas à essa área, para minimizar a rotatividade de pessoal efetivo.</w:t>
      </w:r>
    </w:p>
    <w:p w14:paraId="65FFFF99" w14:textId="6A344E74" w:rsidR="00C02EDD" w:rsidRPr="00425C6E" w:rsidRDefault="00DD380E" w:rsidP="007B1674">
      <w:pPr>
        <w:pStyle w:val="Artigopargrafos"/>
        <w:numPr>
          <w:ilvl w:val="0"/>
          <w:numId w:val="20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análise de rotatividade deverá ser realizada a cada </w:t>
      </w:r>
      <w:r w:rsidR="005949EE" w:rsidRPr="00425C6E">
        <w:rPr>
          <w:rFonts w:cs="Times New Roman"/>
        </w:rPr>
        <w:t>0</w:t>
      </w:r>
      <w:r w:rsidRPr="00425C6E">
        <w:rPr>
          <w:rFonts w:cs="Times New Roman"/>
        </w:rPr>
        <w:t xml:space="preserve">2 (dois) anos, visando avaliar a eficácia das medidas implementadas na proposta estabelecida pelo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, com o objetivo de reduzir </w:t>
      </w:r>
      <w:r w:rsidR="00C02EDD" w:rsidRPr="00425C6E">
        <w:rPr>
          <w:rFonts w:cs="Times New Roman"/>
        </w:rPr>
        <w:t xml:space="preserve">a evasão de servidores do quadro </w:t>
      </w:r>
      <w:r w:rsidR="000C6931" w:rsidRPr="00425C6E">
        <w:rPr>
          <w:rFonts w:cs="Times New Roman"/>
        </w:rPr>
        <w:t>permanente.</w:t>
      </w:r>
    </w:p>
    <w:p w14:paraId="045A7CAA" w14:textId="5C9115E2" w:rsidR="0092546F" w:rsidRPr="00425C6E" w:rsidRDefault="00C02EDD" w:rsidP="00313C5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Deverá ser elaborado</w:t>
      </w:r>
      <w:r w:rsidR="00313C5C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implantado</w:t>
      </w:r>
      <w:r w:rsidR="00313C5C" w:rsidRPr="00425C6E">
        <w:rPr>
          <w:rFonts w:cs="Times New Roman"/>
        </w:rPr>
        <w:t xml:space="preserve"> e divulgado o</w:t>
      </w:r>
      <w:r w:rsidRPr="00425C6E">
        <w:rPr>
          <w:rFonts w:cs="Times New Roman"/>
        </w:rPr>
        <w:t xml:space="preserve"> Plano Anual de Capacitaç</w:t>
      </w:r>
      <w:r w:rsidR="00313C5C" w:rsidRPr="00425C6E">
        <w:rPr>
          <w:rFonts w:cs="Times New Roman"/>
        </w:rPr>
        <w:t>ões de TIC</w:t>
      </w:r>
      <w:r w:rsidRPr="00425C6E">
        <w:rPr>
          <w:rFonts w:cs="Times New Roman"/>
        </w:rPr>
        <w:t xml:space="preserve"> para</w:t>
      </w:r>
      <w:r w:rsidR="00523C3E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desenvolver as competências gerenciais e técnicas necessárias à operacionalização da </w:t>
      </w:r>
      <w:r w:rsidR="000C6931" w:rsidRPr="00425C6E">
        <w:rPr>
          <w:rFonts w:cs="Times New Roman"/>
        </w:rPr>
        <w:t>governança,</w:t>
      </w:r>
      <w:r w:rsidRPr="00425C6E">
        <w:rPr>
          <w:rFonts w:cs="Times New Roman"/>
        </w:rPr>
        <w:t xml:space="preserve"> gestão </w:t>
      </w:r>
      <w:r w:rsidR="00313C5C" w:rsidRPr="00425C6E">
        <w:rPr>
          <w:rFonts w:cs="Times New Roman"/>
        </w:rPr>
        <w:t xml:space="preserve">e atualização tecnológica, </w:t>
      </w:r>
      <w:r w:rsidR="0092546F" w:rsidRPr="00425C6E">
        <w:rPr>
          <w:rFonts w:cs="Times New Roman"/>
        </w:rPr>
        <w:t xml:space="preserve">utilizando </w:t>
      </w:r>
      <w:r w:rsidR="00523E83" w:rsidRPr="00425C6E">
        <w:rPr>
          <w:rFonts w:cs="Times New Roman"/>
        </w:rPr>
        <w:t>as</w:t>
      </w:r>
      <w:r w:rsidR="0092546F" w:rsidRPr="00425C6E">
        <w:rPr>
          <w:rFonts w:cs="Times New Roman"/>
        </w:rPr>
        <w:t xml:space="preserve"> ferramentas de capacitação disponíveis, inclusive o uso de </w:t>
      </w:r>
      <w:r w:rsidR="007D7675" w:rsidRPr="00425C6E">
        <w:rPr>
          <w:rFonts w:cs="Times New Roman"/>
        </w:rPr>
        <w:t>P</w:t>
      </w:r>
      <w:r w:rsidR="0092546F" w:rsidRPr="00425C6E">
        <w:rPr>
          <w:rFonts w:cs="Times New Roman"/>
        </w:rPr>
        <w:t>lataformas de Educação à Distância</w:t>
      </w:r>
      <w:r w:rsidR="006230A0" w:rsidRPr="00425C6E">
        <w:rPr>
          <w:rFonts w:cs="Times New Roman"/>
        </w:rPr>
        <w:t xml:space="preserve"> </w:t>
      </w:r>
      <w:r w:rsidR="0092546F" w:rsidRPr="00425C6E">
        <w:rPr>
          <w:rFonts w:cs="Times New Roman"/>
        </w:rPr>
        <w:t>(</w:t>
      </w:r>
      <w:proofErr w:type="spellStart"/>
      <w:r w:rsidR="0092546F" w:rsidRPr="00425C6E">
        <w:rPr>
          <w:rFonts w:cs="Times New Roman"/>
        </w:rPr>
        <w:t>EaD</w:t>
      </w:r>
      <w:proofErr w:type="spellEnd"/>
      <w:r w:rsidR="0092546F" w:rsidRPr="00425C6E">
        <w:rPr>
          <w:rFonts w:cs="Times New Roman"/>
        </w:rPr>
        <w:t>)</w:t>
      </w:r>
      <w:r w:rsidR="00313C5C" w:rsidRPr="00425C6E">
        <w:rPr>
          <w:rFonts w:cs="Times New Roman"/>
        </w:rPr>
        <w:t xml:space="preserve"> do </w:t>
      </w:r>
      <w:r w:rsidR="004D53D4" w:rsidRPr="00425C6E">
        <w:rPr>
          <w:rFonts w:cs="Times New Roman"/>
        </w:rPr>
        <w:t>Conselho Nacional de Justiça (</w:t>
      </w:r>
      <w:r w:rsidR="00313C5C" w:rsidRPr="00425C6E">
        <w:rPr>
          <w:rFonts w:cs="Times New Roman"/>
        </w:rPr>
        <w:t>CNJ</w:t>
      </w:r>
      <w:r w:rsidR="004D53D4" w:rsidRPr="00425C6E">
        <w:rPr>
          <w:rFonts w:cs="Times New Roman"/>
        </w:rPr>
        <w:t>)</w:t>
      </w:r>
      <w:r w:rsidR="00002057" w:rsidRPr="00425C6E">
        <w:rPr>
          <w:rFonts w:cs="Times New Roman"/>
        </w:rPr>
        <w:t>,</w:t>
      </w:r>
      <w:r w:rsidR="00313C5C" w:rsidRPr="00425C6E">
        <w:rPr>
          <w:rFonts w:cs="Times New Roman"/>
        </w:rPr>
        <w:t xml:space="preserve"> por meio da </w:t>
      </w:r>
      <w:r w:rsidR="008356A1" w:rsidRPr="00425C6E">
        <w:rPr>
          <w:rFonts w:cs="Times New Roman"/>
        </w:rPr>
        <w:t xml:space="preserve">Centro de Formação e Aperfeiçoamento de Servidores do Poder Judiciário </w:t>
      </w:r>
      <w:r w:rsidR="000F7B98" w:rsidRPr="00425C6E">
        <w:rPr>
          <w:rFonts w:cs="Times New Roman"/>
        </w:rPr>
        <w:t>(</w:t>
      </w:r>
      <w:proofErr w:type="spellStart"/>
      <w:r w:rsidR="00313C5C" w:rsidRPr="00425C6E">
        <w:rPr>
          <w:rFonts w:cs="Times New Roman"/>
        </w:rPr>
        <w:t>CEAJ</w:t>
      </w:r>
      <w:r w:rsidR="008356A1" w:rsidRPr="00425C6E">
        <w:rPr>
          <w:rFonts w:cs="Times New Roman"/>
        </w:rPr>
        <w:t>ud</w:t>
      </w:r>
      <w:proofErr w:type="spellEnd"/>
      <w:r w:rsidR="00420667" w:rsidRPr="00425C6E">
        <w:rPr>
          <w:rFonts w:cs="Times New Roman"/>
        </w:rPr>
        <w:t>/CNJ</w:t>
      </w:r>
      <w:r w:rsidR="000F7B98" w:rsidRPr="00425C6E">
        <w:rPr>
          <w:rFonts w:cs="Times New Roman"/>
        </w:rPr>
        <w:t>)</w:t>
      </w:r>
      <w:r w:rsidR="00002057" w:rsidRPr="00425C6E">
        <w:rPr>
          <w:rFonts w:cs="Times New Roman"/>
        </w:rPr>
        <w:t>.</w:t>
      </w:r>
    </w:p>
    <w:p w14:paraId="7DDB3B3D" w14:textId="37C86F75" w:rsidR="00C11395" w:rsidRPr="00425C6E" w:rsidRDefault="00A72E77" w:rsidP="007B1674">
      <w:pPr>
        <w:pStyle w:val="Artigopargrafos"/>
        <w:numPr>
          <w:ilvl w:val="0"/>
          <w:numId w:val="21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 área de TIC será responsável pelo acompanhamento</w:t>
      </w:r>
      <w:r w:rsidR="00C11395" w:rsidRPr="00425C6E">
        <w:rPr>
          <w:rFonts w:cs="Times New Roman"/>
        </w:rPr>
        <w:t xml:space="preserve"> e</w:t>
      </w:r>
      <w:r w:rsidRPr="00425C6E">
        <w:rPr>
          <w:rFonts w:cs="Times New Roman"/>
        </w:rPr>
        <w:t xml:space="preserve"> desenvolvimento </w:t>
      </w:r>
      <w:r w:rsidR="00523E83" w:rsidRPr="00425C6E">
        <w:rPr>
          <w:rFonts w:cs="Times New Roman"/>
        </w:rPr>
        <w:t>das lacunas de competências identificadas n</w:t>
      </w:r>
      <w:r w:rsidRPr="00425C6E">
        <w:rPr>
          <w:rFonts w:cs="Times New Roman"/>
        </w:rPr>
        <w:t>os servidores</w:t>
      </w:r>
      <w:r w:rsidR="00523E83" w:rsidRPr="00425C6E">
        <w:rPr>
          <w:rFonts w:cs="Times New Roman"/>
        </w:rPr>
        <w:t xml:space="preserve"> de TIC</w:t>
      </w:r>
      <w:r w:rsidRPr="00425C6E">
        <w:rPr>
          <w:rFonts w:cs="Times New Roman"/>
        </w:rPr>
        <w:t>,</w:t>
      </w:r>
      <w:r w:rsidR="00523E83" w:rsidRPr="00425C6E">
        <w:rPr>
          <w:rFonts w:cs="Times New Roman"/>
        </w:rPr>
        <w:t xml:space="preserve"> alinhado com a gestão </w:t>
      </w:r>
      <w:r w:rsidR="001A6362" w:rsidRPr="00425C6E">
        <w:rPr>
          <w:rFonts w:cs="Times New Roman"/>
        </w:rPr>
        <w:t>por</w:t>
      </w:r>
      <w:r w:rsidR="00523E83" w:rsidRPr="00425C6E">
        <w:rPr>
          <w:rFonts w:cs="Times New Roman"/>
        </w:rPr>
        <w:t xml:space="preserve"> competência</w:t>
      </w:r>
      <w:r w:rsidR="001A6362" w:rsidRPr="00425C6E">
        <w:rPr>
          <w:rFonts w:cs="Times New Roman"/>
        </w:rPr>
        <w:t>s</w:t>
      </w:r>
      <w:r w:rsidR="00D616FD" w:rsidRPr="00425C6E">
        <w:rPr>
          <w:rFonts w:cs="Times New Roman"/>
        </w:rPr>
        <w:t xml:space="preserve"> institucional</w:t>
      </w:r>
      <w:r w:rsidR="001A6362" w:rsidRPr="00425C6E">
        <w:rPr>
          <w:rFonts w:cs="Times New Roman"/>
        </w:rPr>
        <w:t xml:space="preserve">. </w:t>
      </w:r>
    </w:p>
    <w:p w14:paraId="708E27AF" w14:textId="18CBE3D7" w:rsidR="002D572D" w:rsidRPr="00425C6E" w:rsidRDefault="00C11395" w:rsidP="007B1674">
      <w:pPr>
        <w:pStyle w:val="Artigopargrafos"/>
        <w:numPr>
          <w:ilvl w:val="0"/>
          <w:numId w:val="21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8978E1" w:rsidRPr="00425C6E">
        <w:rPr>
          <w:rFonts w:cs="Times New Roman"/>
        </w:rPr>
        <w:t xml:space="preserve">Plano de Capacitação </w:t>
      </w:r>
      <w:r w:rsidRPr="00425C6E">
        <w:rPr>
          <w:rFonts w:cs="Times New Roman"/>
        </w:rPr>
        <w:t xml:space="preserve">de TIC deverá ser publicado e atualizado periodicamente </w:t>
      </w:r>
      <w:r w:rsidR="00681B5D" w:rsidRPr="00425C6E">
        <w:rPr>
          <w:rFonts w:cs="Times New Roman"/>
        </w:rPr>
        <w:t xml:space="preserve">pelos </w:t>
      </w:r>
      <w:r w:rsidR="00C70AEA" w:rsidRPr="00425C6E">
        <w:rPr>
          <w:rFonts w:cs="Times New Roman"/>
        </w:rPr>
        <w:t>órgãos</w:t>
      </w:r>
      <w:r w:rsidR="00681B5D" w:rsidRPr="00425C6E">
        <w:rPr>
          <w:rFonts w:cs="Times New Roman"/>
        </w:rPr>
        <w:t xml:space="preserve"> do </w:t>
      </w:r>
      <w:r w:rsidR="000169B6" w:rsidRPr="00425C6E">
        <w:rPr>
          <w:rFonts w:cs="Times New Roman"/>
        </w:rPr>
        <w:t xml:space="preserve">Poder </w:t>
      </w:r>
      <w:r w:rsidR="00681B5D" w:rsidRPr="00425C6E">
        <w:rPr>
          <w:rFonts w:cs="Times New Roman"/>
        </w:rPr>
        <w:t xml:space="preserve">Judiciário </w:t>
      </w:r>
      <w:r w:rsidR="00BB37B9" w:rsidRPr="00425C6E">
        <w:rPr>
          <w:rFonts w:cs="Times New Roman"/>
        </w:rPr>
        <w:t xml:space="preserve">no </w:t>
      </w:r>
      <w:r w:rsidR="007E497F" w:rsidRPr="00425C6E">
        <w:rPr>
          <w:rFonts w:cs="Times New Roman"/>
        </w:rPr>
        <w:t>R</w:t>
      </w:r>
      <w:r w:rsidR="00BB37B9" w:rsidRPr="00425C6E">
        <w:rPr>
          <w:rFonts w:cs="Times New Roman"/>
        </w:rPr>
        <w:t xml:space="preserve">epositório </w:t>
      </w:r>
      <w:r w:rsidR="007E497F" w:rsidRPr="00425C6E">
        <w:rPr>
          <w:rFonts w:cs="Times New Roman"/>
        </w:rPr>
        <w:t>N</w:t>
      </w:r>
      <w:r w:rsidR="00BB37B9" w:rsidRPr="00425C6E">
        <w:rPr>
          <w:rFonts w:cs="Times New Roman"/>
        </w:rPr>
        <w:t>acional</w:t>
      </w:r>
      <w:r w:rsidR="00EE7D75" w:rsidRPr="00425C6E">
        <w:rPr>
          <w:rFonts w:cs="Times New Roman"/>
        </w:rPr>
        <w:t>.</w:t>
      </w:r>
    </w:p>
    <w:p w14:paraId="69555C9A" w14:textId="77777777" w:rsidR="001C54E0" w:rsidRPr="00425C6E" w:rsidRDefault="001C54E0" w:rsidP="00D21B87">
      <w:pPr>
        <w:pStyle w:val="Artigopargrafos"/>
        <w:numPr>
          <w:ilvl w:val="0"/>
          <w:numId w:val="0"/>
        </w:numPr>
        <w:tabs>
          <w:tab w:val="left" w:pos="1701"/>
        </w:tabs>
        <w:ind w:left="4046" w:hanging="360"/>
        <w:rPr>
          <w:rFonts w:cs="Times New Roman"/>
        </w:rPr>
      </w:pPr>
    </w:p>
    <w:p w14:paraId="3A76DCAB" w14:textId="135C2839" w:rsidR="00C02EDD" w:rsidRPr="00425C6E" w:rsidRDefault="00EF69D6" w:rsidP="008F618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IV</w:t>
      </w:r>
    </w:p>
    <w:p w14:paraId="7CFC4FC7" w14:textId="127B0010" w:rsidR="00C02EDD" w:rsidRPr="00425C6E" w:rsidRDefault="00EF69D6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Do Gerenciamento de Serviços de </w:t>
      </w:r>
      <w:r w:rsidR="00D76E90" w:rsidRPr="00425C6E">
        <w:rPr>
          <w:rFonts w:ascii="Times New Roman" w:hAnsi="Times New Roman" w:cs="Times New Roman"/>
          <w:b/>
          <w:bCs/>
          <w:sz w:val="24"/>
        </w:rPr>
        <w:t>TIC</w:t>
      </w:r>
    </w:p>
    <w:p w14:paraId="768D8651" w14:textId="7EF3FC84" w:rsidR="00C02EDD" w:rsidRPr="00425C6E" w:rsidRDefault="00EF69D6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DE0393" w:rsidRPr="00425C6E">
        <w:rPr>
          <w:rFonts w:ascii="Times New Roman" w:hAnsi="Times New Roman" w:cs="Times New Roman"/>
          <w:b/>
          <w:bCs/>
          <w:sz w:val="24"/>
        </w:rPr>
        <w:t>I</w:t>
      </w:r>
    </w:p>
    <w:p w14:paraId="2E66C98A" w14:textId="109764C6" w:rsidR="00C02EDD" w:rsidRPr="00425C6E" w:rsidRDefault="00EF69D6" w:rsidP="000E5115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Dos Sistemas de Informação</w:t>
      </w:r>
    </w:p>
    <w:p w14:paraId="384E6D34" w14:textId="7596EBDD" w:rsidR="00C02EDD" w:rsidRPr="00425C6E" w:rsidRDefault="00C02EDD" w:rsidP="00F422F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executar ou contratar serviços de desenvolvimento e de sustentação de sistemas de informação obedecendo os requisitos estabelecidos nesta Resolução e outros pertinentes, bem como as diretrizes legais e técnicas definidas para o processo judicial.</w:t>
      </w:r>
    </w:p>
    <w:p w14:paraId="257AA372" w14:textId="77777777" w:rsidR="00893DF3" w:rsidRPr="00425C6E" w:rsidRDefault="002F3C78" w:rsidP="00893DF3">
      <w:pPr>
        <w:pStyle w:val="Artigopargrafos"/>
        <w:numPr>
          <w:ilvl w:val="0"/>
          <w:numId w:val="0"/>
        </w:numPr>
        <w:tabs>
          <w:tab w:val="left" w:pos="1701"/>
        </w:tabs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</w:t>
      </w:r>
      <w:r w:rsidR="005A7CC5" w:rsidRPr="00425C6E">
        <w:rPr>
          <w:rFonts w:cs="Times New Roman"/>
        </w:rPr>
        <w:t xml:space="preserve">Sem prejuízo da atuação de que trata o caput deste artigo, deverá ser utilizado preferencialmente os sistemas nacionais desenvolvidos colaborativamente e amplamente </w:t>
      </w:r>
      <w:r w:rsidR="00E70A10" w:rsidRPr="00425C6E">
        <w:rPr>
          <w:rFonts w:cs="Times New Roman"/>
        </w:rPr>
        <w:t xml:space="preserve">disseminados </w:t>
      </w:r>
      <w:r w:rsidR="005A7CC5" w:rsidRPr="00425C6E">
        <w:rPr>
          <w:rFonts w:cs="Times New Roman"/>
        </w:rPr>
        <w:t xml:space="preserve">pelo </w:t>
      </w:r>
      <w:r w:rsidR="00E70A10" w:rsidRPr="00425C6E">
        <w:rPr>
          <w:rFonts w:cs="Times New Roman"/>
        </w:rPr>
        <w:t>P</w:t>
      </w:r>
      <w:r w:rsidR="005A7CC5" w:rsidRPr="00425C6E">
        <w:rPr>
          <w:rFonts w:cs="Times New Roman"/>
        </w:rPr>
        <w:t>oder Judiciário</w:t>
      </w:r>
      <w:r w:rsidR="00167DF7" w:rsidRPr="00425C6E">
        <w:rPr>
          <w:rFonts w:cs="Times New Roman"/>
        </w:rPr>
        <w:t xml:space="preserve">, </w:t>
      </w:r>
      <w:r w:rsidR="0060276F" w:rsidRPr="00425C6E">
        <w:rPr>
          <w:rFonts w:cs="Times New Roman"/>
        </w:rPr>
        <w:t>com o intuito da ampliação e</w:t>
      </w:r>
      <w:r w:rsidR="00167DF7" w:rsidRPr="00425C6E">
        <w:rPr>
          <w:rFonts w:cs="Times New Roman"/>
        </w:rPr>
        <w:t xml:space="preserve"> compartilhamento de soluções.</w:t>
      </w:r>
    </w:p>
    <w:p w14:paraId="423A822A" w14:textId="1547D628" w:rsidR="00247AF4" w:rsidRPr="00425C6E" w:rsidRDefault="00247AF4" w:rsidP="00247AF4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do Poder Judiciário deverá adotar o padrão nacional definido pelo </w:t>
      </w:r>
      <w:r w:rsidR="000F7B98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para a utilização das credenciais de </w:t>
      </w:r>
      <w:r w:rsidR="00A86DA6" w:rsidRPr="00425C6E">
        <w:rPr>
          <w:rFonts w:cs="Times New Roman"/>
        </w:rPr>
        <w:t>l</w:t>
      </w:r>
      <w:r w:rsidRPr="00425C6E">
        <w:rPr>
          <w:rFonts w:cs="Times New Roman"/>
        </w:rPr>
        <w:t>ogin único e interface de interação</w:t>
      </w:r>
      <w:r w:rsidR="009C0994" w:rsidRPr="00425C6E">
        <w:rPr>
          <w:rFonts w:cs="Times New Roman"/>
        </w:rPr>
        <w:t xml:space="preserve"> dos sistemas, com o objetivo de uniformizar e garantir a experiência única de interação com os</w:t>
      </w:r>
      <w:r w:rsidRPr="00425C6E">
        <w:rPr>
          <w:rFonts w:cs="Times New Roman"/>
        </w:rPr>
        <w:t xml:space="preserve"> sistemas judiciais.</w:t>
      </w:r>
    </w:p>
    <w:p w14:paraId="6CC645E0" w14:textId="5205177D" w:rsidR="00893DF3" w:rsidRPr="00425C6E" w:rsidRDefault="00893DF3" w:rsidP="00893DF3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Cada órgão do Poder Judiciário deverá seguir as diretrizes propostas pelo Conselho Nacional de Justiça (CNJ)</w:t>
      </w:r>
      <w:r w:rsidR="00FA7765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no que se refere aos sistemas de informação</w:t>
      </w:r>
      <w:r w:rsidR="00D00DF6" w:rsidRPr="00425C6E">
        <w:rPr>
          <w:rFonts w:cs="Times New Roman"/>
        </w:rPr>
        <w:t xml:space="preserve"> e,</w:t>
      </w:r>
      <w:r w:rsidRPr="00425C6E">
        <w:rPr>
          <w:rFonts w:cs="Times New Roman"/>
        </w:rPr>
        <w:t xml:space="preserve"> em especial</w:t>
      </w:r>
      <w:r w:rsidR="00D00DF6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</w:t>
      </w:r>
      <w:r w:rsidR="00D00DF6" w:rsidRPr="00425C6E">
        <w:rPr>
          <w:rFonts w:cs="Times New Roman"/>
        </w:rPr>
        <w:t>às diretrizes estabelecidas na</w:t>
      </w:r>
      <w:r w:rsidRPr="00425C6E">
        <w:rPr>
          <w:rFonts w:cs="Times New Roman"/>
        </w:rPr>
        <w:t xml:space="preserve"> Resolução n.º 335/2020 que estabeleceu a Plataforma Digital do Poder Judiciário Brasileiro.</w:t>
      </w:r>
    </w:p>
    <w:p w14:paraId="48635833" w14:textId="3965975B" w:rsidR="00D573CB" w:rsidRPr="00425C6E" w:rsidRDefault="00D573CB" w:rsidP="00D573CB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do Poder Judiciário deverá seguir as diretrizes propostas pelo </w:t>
      </w:r>
      <w:r w:rsidR="000F7B98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na</w:t>
      </w:r>
      <w:r w:rsidR="00B06311" w:rsidRPr="00425C6E">
        <w:rPr>
          <w:rFonts w:cs="Times New Roman"/>
        </w:rPr>
        <w:t xml:space="preserve"> adoção de arquitetura e plataforma de serviços em nuvem, atendendo aos requisitos de segurança da informação</w:t>
      </w:r>
      <w:r w:rsidR="00746A6C" w:rsidRPr="00425C6E">
        <w:rPr>
          <w:rFonts w:cs="Times New Roman"/>
        </w:rPr>
        <w:t xml:space="preserve"> e proteção de dados</w:t>
      </w:r>
      <w:r w:rsidR="00B06311" w:rsidRPr="00425C6E">
        <w:rPr>
          <w:rFonts w:cs="Times New Roman"/>
        </w:rPr>
        <w:t>.</w:t>
      </w:r>
    </w:p>
    <w:p w14:paraId="7EF319D5" w14:textId="23032DCA" w:rsidR="00C272A1" w:rsidRPr="00425C6E" w:rsidRDefault="008E116E" w:rsidP="00C272A1">
      <w:pPr>
        <w:pStyle w:val="Numeraoartigo2"/>
        <w:numPr>
          <w:ilvl w:val="0"/>
          <w:numId w:val="0"/>
        </w:numPr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</w:t>
      </w:r>
      <w:r w:rsidR="00A87E83" w:rsidRPr="00425C6E">
        <w:rPr>
          <w:rFonts w:cs="Times New Roman"/>
        </w:rPr>
        <w:t xml:space="preserve">O Departamento </w:t>
      </w:r>
      <w:r w:rsidR="00C272A1" w:rsidRPr="00425C6E">
        <w:rPr>
          <w:rFonts w:cs="Times New Roman"/>
        </w:rPr>
        <w:t xml:space="preserve">de Tecnologia da Informação </w:t>
      </w:r>
      <w:r w:rsidR="00A87E83" w:rsidRPr="00425C6E">
        <w:rPr>
          <w:rFonts w:cs="Times New Roman"/>
        </w:rPr>
        <w:t xml:space="preserve">e Comunicação </w:t>
      </w:r>
      <w:r w:rsidR="00C272A1" w:rsidRPr="00425C6E">
        <w:rPr>
          <w:rFonts w:cs="Times New Roman"/>
        </w:rPr>
        <w:t xml:space="preserve">(DTI) do </w:t>
      </w:r>
      <w:r w:rsidR="000F7B98" w:rsidRPr="00425C6E">
        <w:rPr>
          <w:rFonts w:cs="Times New Roman"/>
        </w:rPr>
        <w:t>Conselho Nacional de Justiça (</w:t>
      </w:r>
      <w:r w:rsidR="00C272A1"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="00C272A1" w:rsidRPr="00425C6E">
        <w:rPr>
          <w:rFonts w:cs="Times New Roman"/>
        </w:rPr>
        <w:t xml:space="preserve"> disponibilizará manual de referência com as </w:t>
      </w:r>
      <w:r w:rsidRPr="00425C6E">
        <w:rPr>
          <w:rFonts w:cs="Times New Roman"/>
        </w:rPr>
        <w:t>diretrizes para o desenvolvimento dos sistemas elencad</w:t>
      </w:r>
      <w:r w:rsidR="00247AF4" w:rsidRPr="00425C6E">
        <w:rPr>
          <w:rFonts w:cs="Times New Roman"/>
        </w:rPr>
        <w:t>o</w:t>
      </w:r>
      <w:r w:rsidRPr="00425C6E">
        <w:rPr>
          <w:rFonts w:cs="Times New Roman"/>
        </w:rPr>
        <w:t xml:space="preserve">s no </w:t>
      </w:r>
      <w:r w:rsidR="00B954B8" w:rsidRPr="00425C6E">
        <w:rPr>
          <w:rFonts w:cs="Times New Roman"/>
        </w:rPr>
        <w:fldChar w:fldCharType="begin"/>
      </w:r>
      <w:r w:rsidR="00B954B8" w:rsidRPr="00425C6E">
        <w:rPr>
          <w:rFonts w:cs="Times New Roman"/>
        </w:rPr>
        <w:instrText xml:space="preserve"> REF _Ref52554714 \n \h </w:instrText>
      </w:r>
      <w:r w:rsidR="00C0107C" w:rsidRPr="00425C6E">
        <w:rPr>
          <w:rFonts w:cs="Times New Roman"/>
        </w:rPr>
        <w:instrText xml:space="preserve"> \* MERGEFORMAT </w:instrText>
      </w:r>
      <w:r w:rsidR="00B954B8" w:rsidRPr="00425C6E">
        <w:rPr>
          <w:rFonts w:cs="Times New Roman"/>
        </w:rPr>
      </w:r>
      <w:r w:rsidR="00B954B8" w:rsidRPr="00425C6E">
        <w:rPr>
          <w:rFonts w:cs="Times New Roman"/>
        </w:rPr>
        <w:fldChar w:fldCharType="separate"/>
      </w:r>
      <w:r w:rsidR="00C27E17" w:rsidRPr="00425C6E">
        <w:rPr>
          <w:rFonts w:cs="Times New Roman"/>
        </w:rPr>
        <w:t>Art. 31</w:t>
      </w:r>
      <w:r w:rsidR="00B954B8" w:rsidRPr="00425C6E">
        <w:rPr>
          <w:rFonts w:cs="Times New Roman"/>
        </w:rPr>
        <w:fldChar w:fldCharType="end"/>
      </w:r>
      <w:r w:rsidR="00B954B8" w:rsidRPr="00425C6E">
        <w:rPr>
          <w:rFonts w:cs="Times New Roman"/>
        </w:rPr>
        <w:t xml:space="preserve"> </w:t>
      </w:r>
      <w:r w:rsidR="00183D41" w:rsidRPr="00425C6E">
        <w:rPr>
          <w:rFonts w:cs="Times New Roman"/>
        </w:rPr>
        <w:t xml:space="preserve">desta </w:t>
      </w:r>
      <w:r w:rsidR="005949EE" w:rsidRPr="00425C6E">
        <w:rPr>
          <w:rFonts w:cs="Times New Roman"/>
        </w:rPr>
        <w:t>R</w:t>
      </w:r>
      <w:r w:rsidR="00183D41" w:rsidRPr="00425C6E">
        <w:rPr>
          <w:rFonts w:cs="Times New Roman"/>
        </w:rPr>
        <w:t>esolução.</w:t>
      </w:r>
    </w:p>
    <w:p w14:paraId="545C0A86" w14:textId="182048D6" w:rsidR="009229F8" w:rsidRPr="00425C6E" w:rsidRDefault="009229F8" w:rsidP="009229F8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bookmarkStart w:id="5" w:name="_Ref52554714"/>
      <w:r w:rsidRPr="00425C6E">
        <w:rPr>
          <w:rFonts w:cs="Times New Roman"/>
        </w:rPr>
        <w:t xml:space="preserve">Na contratação de desenvolvimento de sistemas de informação considerados estratégicos, em que a propriedade intelectual não é da pessoa de direito público contratante, o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fazer constar no instrumento contratual cláusula que determine o depósito da documentação e afins pertinentes à tecnologia de concepção, manutenção e atualização, bem como, quando cabível, do código-fonte junto </w:t>
      </w:r>
      <w:r w:rsidR="0056021D" w:rsidRPr="00425C6E">
        <w:rPr>
          <w:rFonts w:cs="Times New Roman"/>
        </w:rPr>
        <w:t>a</w:t>
      </w:r>
      <w:r w:rsidRPr="00425C6E">
        <w:rPr>
          <w:rFonts w:cs="Times New Roman"/>
        </w:rPr>
        <w:t xml:space="preserve"> autoridade brasileira que controla a propriedade intelectual de </w:t>
      </w:r>
      <w:r w:rsidRPr="00425C6E">
        <w:rPr>
          <w:rFonts w:cs="Times New Roman"/>
          <w:i/>
          <w:iCs/>
        </w:rPr>
        <w:t>softwares</w:t>
      </w:r>
      <w:r w:rsidRPr="00425C6E">
        <w:rPr>
          <w:rFonts w:cs="Times New Roman"/>
        </w:rPr>
        <w:t xml:space="preserve"> para garantia da continuidade.</w:t>
      </w:r>
      <w:bookmarkEnd w:id="5"/>
    </w:p>
    <w:p w14:paraId="3F30C650" w14:textId="65B97DE9" w:rsidR="009229F8" w:rsidRPr="00425C6E" w:rsidRDefault="009229F8" w:rsidP="00670DB0">
      <w:pPr>
        <w:pStyle w:val="Numeraoartigo2"/>
        <w:numPr>
          <w:ilvl w:val="0"/>
          <w:numId w:val="0"/>
        </w:numPr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classificar seus sistemas de informação</w:t>
      </w:r>
      <w:r w:rsidR="005F34D8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identificando </w:t>
      </w:r>
      <w:r w:rsidR="005F34D8" w:rsidRPr="00425C6E">
        <w:rPr>
          <w:rFonts w:cs="Times New Roman"/>
        </w:rPr>
        <w:t>quais</w:t>
      </w:r>
      <w:r w:rsidRPr="00425C6E">
        <w:rPr>
          <w:rFonts w:cs="Times New Roman"/>
        </w:rPr>
        <w:t xml:space="preserve"> são estratégicos.</w:t>
      </w:r>
      <w:r w:rsidR="00F40E49" w:rsidRPr="00425C6E">
        <w:rPr>
          <w:rFonts w:cs="Times New Roman"/>
        </w:rPr>
        <w:t xml:space="preserve"> </w:t>
      </w:r>
    </w:p>
    <w:p w14:paraId="34AEAE7E" w14:textId="56067298" w:rsidR="00C02EDD" w:rsidRPr="00425C6E" w:rsidRDefault="00C02EDD" w:rsidP="00F422FC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Os sistemas de informação deverão atender a p</w:t>
      </w:r>
      <w:r w:rsidR="000E5115" w:rsidRPr="00425C6E">
        <w:rPr>
          <w:rFonts w:cs="Times New Roman"/>
        </w:rPr>
        <w:t xml:space="preserve">adrões de </w:t>
      </w:r>
      <w:r w:rsidRPr="00425C6E">
        <w:rPr>
          <w:rFonts w:cs="Times New Roman"/>
        </w:rPr>
        <w:t>interoperabilidade e outros que venham a ser recomendados pelo Comitê Nacional de Gestão de Tecnologia da Informação e Comunicação do Poder Judiciário</w:t>
      </w:r>
      <w:r w:rsidR="007308C4" w:rsidRPr="00425C6E">
        <w:rPr>
          <w:rFonts w:cs="Times New Roman"/>
        </w:rPr>
        <w:t>.</w:t>
      </w:r>
    </w:p>
    <w:p w14:paraId="2C68E088" w14:textId="3CF6F511" w:rsidR="00C02EDD" w:rsidRPr="00425C6E" w:rsidRDefault="00B8470E" w:rsidP="00B8470E">
      <w:pPr>
        <w:pStyle w:val="Numeraoartigo2"/>
        <w:numPr>
          <w:ilvl w:val="0"/>
          <w:numId w:val="0"/>
        </w:numPr>
        <w:ind w:firstLine="1134"/>
        <w:rPr>
          <w:rFonts w:cs="Times New Roman"/>
        </w:rPr>
      </w:pPr>
      <w:bookmarkStart w:id="6" w:name="_Ref44603005"/>
      <w:r w:rsidRPr="00425C6E">
        <w:rPr>
          <w:rFonts w:cs="Times New Roman"/>
        </w:rPr>
        <w:t xml:space="preserve">Parágrafo único. </w:t>
      </w:r>
      <w:r w:rsidR="00C02EDD" w:rsidRPr="00425C6E">
        <w:rPr>
          <w:rFonts w:cs="Times New Roman"/>
        </w:rPr>
        <w:t xml:space="preserve">Os novos sistemas </w:t>
      </w:r>
      <w:r w:rsidR="00F30DE2" w:rsidRPr="00425C6E">
        <w:rPr>
          <w:rFonts w:cs="Times New Roman"/>
        </w:rPr>
        <w:t>de informação</w:t>
      </w:r>
      <w:r w:rsidR="00C02EDD" w:rsidRPr="00425C6E">
        <w:rPr>
          <w:rFonts w:cs="Times New Roman"/>
        </w:rPr>
        <w:t xml:space="preserve"> deverão</w:t>
      </w:r>
      <w:r w:rsidR="007308C4" w:rsidRPr="00425C6E">
        <w:rPr>
          <w:rFonts w:cs="Times New Roman"/>
        </w:rPr>
        <w:t xml:space="preserve"> atender aos seguintes requisitos</w:t>
      </w:r>
      <w:r w:rsidR="00C02EDD" w:rsidRPr="00425C6E">
        <w:rPr>
          <w:rFonts w:cs="Times New Roman"/>
        </w:rPr>
        <w:t>:</w:t>
      </w:r>
      <w:bookmarkEnd w:id="6"/>
    </w:p>
    <w:p w14:paraId="4E7A8331" w14:textId="4963AA34" w:rsidR="00C02EDD" w:rsidRPr="00425C6E" w:rsidRDefault="00A81303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S</w:t>
      </w:r>
      <w:r w:rsidR="00C02EDD" w:rsidRPr="00425C6E">
        <w:rPr>
          <w:rFonts w:ascii="Times New Roman" w:hAnsi="Times New Roman" w:cs="Times New Roman"/>
          <w:sz w:val="24"/>
        </w:rPr>
        <w:t>er portáveis e interoperáveis;</w:t>
      </w:r>
    </w:p>
    <w:p w14:paraId="4D07DB12" w14:textId="41CE0F75" w:rsidR="00C02EDD" w:rsidRPr="00425C6E" w:rsidRDefault="00A81303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S</w:t>
      </w:r>
      <w:r w:rsidR="00C02EDD" w:rsidRPr="00425C6E">
        <w:rPr>
          <w:rFonts w:ascii="Times New Roman" w:hAnsi="Times New Roman" w:cs="Times New Roman"/>
          <w:sz w:val="24"/>
        </w:rPr>
        <w:t>er disponíveis para dispositivos móveis</w:t>
      </w:r>
      <w:r w:rsidR="007308C4" w:rsidRPr="00425C6E">
        <w:rPr>
          <w:rFonts w:ascii="Times New Roman" w:hAnsi="Times New Roman" w:cs="Times New Roman"/>
          <w:sz w:val="24"/>
        </w:rPr>
        <w:t xml:space="preserve"> e responsivos;</w:t>
      </w:r>
    </w:p>
    <w:p w14:paraId="6E17EABD" w14:textId="0460CF88" w:rsidR="00C02EDD" w:rsidRPr="00425C6E" w:rsidRDefault="00C02EDD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Possuir documentação atualizada;</w:t>
      </w:r>
    </w:p>
    <w:p w14:paraId="7BAFAC85" w14:textId="77777777" w:rsidR="000F2548" w:rsidRPr="00425C6E" w:rsidRDefault="00C02EDD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Oferecer suporte para assinatura baseado em certificado emitido por Autoridade Certificadora credenciada na forma da Infraestrutura de Chaves Públicas Brasileira (ICP Brasil);</w:t>
      </w:r>
    </w:p>
    <w:p w14:paraId="451D3870" w14:textId="77777777" w:rsidR="000F2548" w:rsidRPr="00425C6E" w:rsidRDefault="00C02EDD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Atender ao Modelo de Acessibilidade em Governo Eletrônico</w:t>
      </w:r>
      <w:r w:rsidR="00AC0204" w:rsidRPr="00425C6E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040B01" w:rsidRPr="00425C6E">
        <w:rPr>
          <w:rFonts w:ascii="Times New Roman" w:hAnsi="Times New Roman" w:cs="Times New Roman"/>
          <w:sz w:val="24"/>
        </w:rPr>
        <w:t>e</w:t>
      </w:r>
      <w:r w:rsidR="00AC0204" w:rsidRPr="00425C6E">
        <w:rPr>
          <w:rFonts w:ascii="Times New Roman" w:hAnsi="Times New Roman" w:cs="Times New Roman"/>
          <w:sz w:val="24"/>
        </w:rPr>
        <w:t>MAG</w:t>
      </w:r>
      <w:proofErr w:type="spellEnd"/>
      <w:r w:rsidR="00AC0204" w:rsidRPr="00425C6E">
        <w:rPr>
          <w:rFonts w:ascii="Times New Roman" w:hAnsi="Times New Roman" w:cs="Times New Roman"/>
          <w:sz w:val="24"/>
        </w:rPr>
        <w:t>)</w:t>
      </w:r>
      <w:r w:rsidRPr="00425C6E">
        <w:rPr>
          <w:rFonts w:ascii="Times New Roman" w:hAnsi="Times New Roman" w:cs="Times New Roman"/>
          <w:sz w:val="24"/>
        </w:rPr>
        <w:t>,</w:t>
      </w:r>
      <w:r w:rsidR="00AC0204" w:rsidRPr="00425C6E">
        <w:rPr>
          <w:rFonts w:ascii="Times New Roman" w:hAnsi="Times New Roman" w:cs="Times New Roman"/>
          <w:sz w:val="24"/>
        </w:rPr>
        <w:t xml:space="preserve"> do Governo Federal.</w:t>
      </w:r>
    </w:p>
    <w:p w14:paraId="279E1584" w14:textId="77777777" w:rsidR="000F2548" w:rsidRPr="00425C6E" w:rsidRDefault="00C02EDD" w:rsidP="007B167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Recomenda-se o uso</w:t>
      </w:r>
      <w:r w:rsidR="00E70A10" w:rsidRPr="00425C6E">
        <w:rPr>
          <w:rFonts w:ascii="Times New Roman" w:hAnsi="Times New Roman" w:cs="Times New Roman"/>
          <w:sz w:val="24"/>
        </w:rPr>
        <w:t xml:space="preserve"> </w:t>
      </w:r>
      <w:r w:rsidRPr="00425C6E">
        <w:rPr>
          <w:rFonts w:ascii="Times New Roman" w:hAnsi="Times New Roman" w:cs="Times New Roman"/>
          <w:sz w:val="24"/>
        </w:rPr>
        <w:t>de sistemas de informação já desenvolvidos, disseminados e experimentados no âmbito d</w:t>
      </w:r>
      <w:r w:rsidR="008F23E6" w:rsidRPr="00425C6E">
        <w:rPr>
          <w:rFonts w:ascii="Times New Roman" w:hAnsi="Times New Roman" w:cs="Times New Roman"/>
          <w:sz w:val="24"/>
        </w:rPr>
        <w:t xml:space="preserve">o Poder Judiciário. </w:t>
      </w:r>
    </w:p>
    <w:p w14:paraId="61CBEF8E" w14:textId="02F21FEA" w:rsidR="004D53D4" w:rsidRPr="00425C6E" w:rsidRDefault="000F2548" w:rsidP="004D53D4">
      <w:pPr>
        <w:pStyle w:val="PargrafodaLista"/>
        <w:numPr>
          <w:ilvl w:val="0"/>
          <w:numId w:val="8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Re</w:t>
      </w:r>
      <w:r w:rsidR="00AC0204" w:rsidRPr="00425C6E">
        <w:rPr>
          <w:rFonts w:ascii="Times New Roman" w:hAnsi="Times New Roman" w:cs="Times New Roman"/>
          <w:sz w:val="24"/>
        </w:rPr>
        <w:t>comenda-se o uso d</w:t>
      </w:r>
      <w:r w:rsidR="00BB37B9" w:rsidRPr="00425C6E">
        <w:rPr>
          <w:rFonts w:ascii="Times New Roman" w:hAnsi="Times New Roman" w:cs="Times New Roman"/>
          <w:sz w:val="24"/>
        </w:rPr>
        <w:t xml:space="preserve">o </w:t>
      </w:r>
      <w:r w:rsidR="001C2000" w:rsidRPr="00425C6E">
        <w:rPr>
          <w:rFonts w:ascii="Times New Roman" w:hAnsi="Times New Roman" w:cs="Times New Roman"/>
          <w:sz w:val="24"/>
        </w:rPr>
        <w:t>R</w:t>
      </w:r>
      <w:r w:rsidR="00BB37B9" w:rsidRPr="00425C6E">
        <w:rPr>
          <w:rFonts w:ascii="Times New Roman" w:hAnsi="Times New Roman" w:cs="Times New Roman"/>
          <w:sz w:val="24"/>
        </w:rPr>
        <w:t xml:space="preserve">epositório </w:t>
      </w:r>
      <w:r w:rsidR="001C2000" w:rsidRPr="00425C6E">
        <w:rPr>
          <w:rFonts w:ascii="Times New Roman" w:hAnsi="Times New Roman" w:cs="Times New Roman"/>
          <w:sz w:val="24"/>
        </w:rPr>
        <w:t>N</w:t>
      </w:r>
      <w:r w:rsidR="00BB37B9" w:rsidRPr="00425C6E">
        <w:rPr>
          <w:rFonts w:ascii="Times New Roman" w:hAnsi="Times New Roman" w:cs="Times New Roman"/>
          <w:sz w:val="24"/>
        </w:rPr>
        <w:t xml:space="preserve">acional </w:t>
      </w:r>
      <w:r w:rsidR="00AC0204" w:rsidRPr="00425C6E">
        <w:rPr>
          <w:rFonts w:ascii="Times New Roman" w:hAnsi="Times New Roman" w:cs="Times New Roman"/>
          <w:sz w:val="24"/>
        </w:rPr>
        <w:t>para disseminação de boas práticas e compartilhamento de soluções colaborativas de TIC.</w:t>
      </w:r>
    </w:p>
    <w:p w14:paraId="227EF8FC" w14:textId="77777777" w:rsidR="00A9675D" w:rsidRPr="00425C6E" w:rsidRDefault="00A9675D" w:rsidP="00A9675D">
      <w:pPr>
        <w:pStyle w:val="PargrafodaLista"/>
        <w:tabs>
          <w:tab w:val="left" w:pos="1560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</w:rPr>
      </w:pPr>
    </w:p>
    <w:p w14:paraId="2B51BE53" w14:textId="710968DC" w:rsidR="00C02EDD" w:rsidRPr="00425C6E" w:rsidRDefault="00C15224" w:rsidP="000600D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Seção </w:t>
      </w:r>
      <w:r w:rsidR="00882B10" w:rsidRPr="00425C6E">
        <w:rPr>
          <w:rFonts w:ascii="Times New Roman" w:hAnsi="Times New Roman" w:cs="Times New Roman"/>
          <w:b/>
          <w:bCs/>
          <w:sz w:val="24"/>
        </w:rPr>
        <w:t>II</w:t>
      </w:r>
    </w:p>
    <w:p w14:paraId="79FF426C" w14:textId="61EBDE07" w:rsidR="00C02EDD" w:rsidRPr="00425C6E" w:rsidRDefault="00C15224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 Infraestrutura Tecnológica e Serviços em Nuvem</w:t>
      </w:r>
    </w:p>
    <w:p w14:paraId="64166706" w14:textId="77777777" w:rsidR="00394744" w:rsidRPr="00425C6E" w:rsidRDefault="00394744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5AF1162F" w14:textId="4458F623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Os itens de </w:t>
      </w:r>
      <w:r w:rsidR="00B41232" w:rsidRPr="00425C6E">
        <w:rPr>
          <w:rFonts w:cs="Times New Roman"/>
        </w:rPr>
        <w:t xml:space="preserve">infraestrutura tecnológica </w:t>
      </w:r>
      <w:r w:rsidRPr="00425C6E">
        <w:rPr>
          <w:rFonts w:cs="Times New Roman"/>
        </w:rPr>
        <w:t>deverão atender as especificações, temporalidade de uso e obsolescência a serem regulados em instrumentos aplicáveis e específicos</w:t>
      </w:r>
      <w:r w:rsidR="009B0560" w:rsidRPr="00425C6E">
        <w:rPr>
          <w:rFonts w:cs="Times New Roman"/>
        </w:rPr>
        <w:t>.</w:t>
      </w:r>
    </w:p>
    <w:p w14:paraId="0F5C416A" w14:textId="112C252F" w:rsidR="00882B10" w:rsidRPr="00425C6E" w:rsidRDefault="00C12BA7" w:rsidP="007B1674">
      <w:pPr>
        <w:pStyle w:val="Artigopargrafos"/>
        <w:numPr>
          <w:ilvl w:val="0"/>
          <w:numId w:val="22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Deverão ser observadas as necessidades estratégicas dos </w:t>
      </w:r>
      <w:r w:rsidR="00C70AEA" w:rsidRPr="00425C6E">
        <w:rPr>
          <w:rFonts w:cs="Times New Roman"/>
        </w:rPr>
        <w:t>órgãos</w:t>
      </w:r>
      <w:r w:rsidR="006916C9" w:rsidRPr="00425C6E">
        <w:rPr>
          <w:rFonts w:cs="Times New Roman"/>
        </w:rPr>
        <w:t xml:space="preserve"> do Poder Judiciário para que as especificações dos produtos constantes no parque tecnológico estejam adequadas e compatíveis. </w:t>
      </w:r>
    </w:p>
    <w:p w14:paraId="287738AD" w14:textId="709F3B37" w:rsidR="006916C9" w:rsidRPr="00425C6E" w:rsidRDefault="006916C9" w:rsidP="007B1674">
      <w:pPr>
        <w:pStyle w:val="Artigopargrafos"/>
        <w:numPr>
          <w:ilvl w:val="0"/>
          <w:numId w:val="22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A gestão dos ativos de infraestrutura tecnológica deverá ser realizada por meio d</w:t>
      </w:r>
      <w:r w:rsidR="005D3CFF" w:rsidRPr="00425C6E">
        <w:rPr>
          <w:rFonts w:cs="Times New Roman"/>
        </w:rPr>
        <w:t>a definição dos</w:t>
      </w:r>
      <w:r w:rsidRPr="00425C6E">
        <w:rPr>
          <w:rFonts w:cs="Times New Roman"/>
        </w:rPr>
        <w:t xml:space="preserve"> processos, visando o registro e monitoramento da localização de cada ativo.</w:t>
      </w:r>
    </w:p>
    <w:p w14:paraId="15E50D8F" w14:textId="618945F5" w:rsidR="003F2D9D" w:rsidRPr="00425C6E" w:rsidRDefault="003F2D9D" w:rsidP="007B1674">
      <w:pPr>
        <w:pStyle w:val="Artigopargrafos"/>
        <w:numPr>
          <w:ilvl w:val="0"/>
          <w:numId w:val="22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manutenção de documentos eletrônicos, incluindo o armazenamento e descarte, deverá seguir as diretrizes definidas </w:t>
      </w:r>
      <w:r w:rsidR="002D7805" w:rsidRPr="00425C6E">
        <w:rPr>
          <w:rFonts w:cs="Times New Roman"/>
        </w:rPr>
        <w:t xml:space="preserve">na Recomendação </w:t>
      </w:r>
      <w:r w:rsidR="00503FB1" w:rsidRPr="00425C6E">
        <w:rPr>
          <w:rFonts w:cs="Times New Roman"/>
        </w:rPr>
        <w:t>n</w:t>
      </w:r>
      <w:r w:rsidR="002D7805" w:rsidRPr="00425C6E">
        <w:rPr>
          <w:rFonts w:cs="Times New Roman"/>
        </w:rPr>
        <w:t xml:space="preserve">° </w:t>
      </w:r>
      <w:r w:rsidR="00E01500" w:rsidRPr="00425C6E">
        <w:rPr>
          <w:rFonts w:cs="Times New Roman"/>
        </w:rPr>
        <w:t>46</w:t>
      </w:r>
      <w:r w:rsidR="002D7805" w:rsidRPr="00425C6E">
        <w:rPr>
          <w:rFonts w:cs="Times New Roman"/>
        </w:rPr>
        <w:t>/201</w:t>
      </w:r>
      <w:r w:rsidR="00E01500" w:rsidRPr="00425C6E">
        <w:rPr>
          <w:rFonts w:cs="Times New Roman"/>
        </w:rPr>
        <w:t>3</w:t>
      </w:r>
      <w:r w:rsidR="002703B8" w:rsidRPr="00425C6E">
        <w:rPr>
          <w:rFonts w:cs="Times New Roman"/>
        </w:rPr>
        <w:t xml:space="preserve"> e </w:t>
      </w:r>
      <w:r w:rsidR="00BB7950" w:rsidRPr="00425C6E">
        <w:rPr>
          <w:rFonts w:cs="Times New Roman"/>
        </w:rPr>
        <w:t>na Lei nº. 13.709/2018</w:t>
      </w:r>
      <w:r w:rsidR="002703B8" w:rsidRPr="00425C6E">
        <w:rPr>
          <w:rFonts w:cs="Times New Roman"/>
        </w:rPr>
        <w:t xml:space="preserve">, </w:t>
      </w:r>
      <w:r w:rsidR="00E1461A" w:rsidRPr="00425C6E">
        <w:rPr>
          <w:rFonts w:cs="Times New Roman"/>
        </w:rPr>
        <w:t>e alterações</w:t>
      </w:r>
      <w:r w:rsidR="00E82E56" w:rsidRPr="00425C6E">
        <w:rPr>
          <w:rFonts w:cs="Times New Roman"/>
        </w:rPr>
        <w:t xml:space="preserve"> posteriores</w:t>
      </w:r>
      <w:r w:rsidR="002D7805" w:rsidRPr="00425C6E">
        <w:rPr>
          <w:rFonts w:cs="Times New Roman"/>
        </w:rPr>
        <w:t>.</w:t>
      </w:r>
    </w:p>
    <w:p w14:paraId="260D11C2" w14:textId="4F484D8C" w:rsidR="00C12E6E" w:rsidRPr="00425C6E" w:rsidRDefault="00011BB6" w:rsidP="00A9675D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Recomenda-se </w:t>
      </w:r>
      <w:r w:rsidR="00670DB0" w:rsidRPr="00425C6E">
        <w:rPr>
          <w:rFonts w:cs="Times New Roman"/>
        </w:rPr>
        <w:t>utilizar</w:t>
      </w:r>
      <w:r w:rsidRPr="00425C6E">
        <w:rPr>
          <w:rFonts w:cs="Times New Roman"/>
        </w:rPr>
        <w:t xml:space="preserve"> </w:t>
      </w:r>
      <w:r w:rsidR="007928A9" w:rsidRPr="00425C6E">
        <w:rPr>
          <w:rFonts w:cs="Times New Roman"/>
        </w:rPr>
        <w:t>serviços em nuvem</w:t>
      </w:r>
      <w:r w:rsidR="00196F02" w:rsidRPr="00425C6E">
        <w:rPr>
          <w:rFonts w:cs="Times New Roman"/>
        </w:rPr>
        <w:t xml:space="preserve"> que</w:t>
      </w:r>
      <w:r w:rsidR="007928A9" w:rsidRPr="00425C6E">
        <w:rPr>
          <w:rFonts w:cs="Times New Roman"/>
        </w:rPr>
        <w:t xml:space="preserve"> simplifica</w:t>
      </w:r>
      <w:r w:rsidRPr="00425C6E">
        <w:rPr>
          <w:rFonts w:cs="Times New Roman"/>
        </w:rPr>
        <w:t>m</w:t>
      </w:r>
      <w:r w:rsidR="007928A9" w:rsidRPr="00425C6E">
        <w:rPr>
          <w:rFonts w:cs="Times New Roman"/>
        </w:rPr>
        <w:t xml:space="preserve"> a estrutura física</w:t>
      </w:r>
      <w:r w:rsidR="00A95ABB" w:rsidRPr="00425C6E">
        <w:rPr>
          <w:rFonts w:cs="Times New Roman"/>
        </w:rPr>
        <w:t>,</w:t>
      </w:r>
      <w:r w:rsidR="007928A9" w:rsidRPr="00425C6E">
        <w:rPr>
          <w:rFonts w:cs="Times New Roman"/>
        </w:rPr>
        <w:t xml:space="preserve"> viabilizam</w:t>
      </w:r>
      <w:r w:rsidR="00A95ABB" w:rsidRPr="00425C6E">
        <w:rPr>
          <w:rFonts w:cs="Times New Roman"/>
        </w:rPr>
        <w:t xml:space="preserve"> a integração</w:t>
      </w:r>
      <w:r w:rsidR="00CD52DC" w:rsidRPr="00425C6E">
        <w:rPr>
          <w:rFonts w:cs="Times New Roman"/>
        </w:rPr>
        <w:t>, requisitos aceitáveis de segurança da informação, proteção de dados, disponibilidade</w:t>
      </w:r>
      <w:r w:rsidR="00A95ABB" w:rsidRPr="00425C6E">
        <w:rPr>
          <w:rFonts w:cs="Times New Roman"/>
        </w:rPr>
        <w:t xml:space="preserve"> e</w:t>
      </w:r>
      <w:r w:rsidR="007928A9" w:rsidRPr="00425C6E">
        <w:rPr>
          <w:rFonts w:cs="Times New Roman"/>
        </w:rPr>
        <w:t xml:space="preserve"> padronização do uso des</w:t>
      </w:r>
      <w:r w:rsidRPr="00425C6E">
        <w:rPr>
          <w:rFonts w:cs="Times New Roman"/>
        </w:rPr>
        <w:t>sa</w:t>
      </w:r>
      <w:r w:rsidR="007928A9" w:rsidRPr="00425C6E">
        <w:rPr>
          <w:rFonts w:cs="Times New Roman"/>
        </w:rPr>
        <w:t xml:space="preserve"> tecnologia</w:t>
      </w:r>
      <w:r w:rsidRPr="00425C6E">
        <w:rPr>
          <w:rFonts w:cs="Times New Roman"/>
        </w:rPr>
        <w:t xml:space="preserve"> no Poder Judiciário.</w:t>
      </w:r>
    </w:p>
    <w:p w14:paraId="23D3E4DA" w14:textId="77777777" w:rsidR="00620CD9" w:rsidRPr="00425C6E" w:rsidRDefault="00620CD9" w:rsidP="00620CD9">
      <w:pPr>
        <w:pStyle w:val="Numeraoartigo2"/>
        <w:numPr>
          <w:ilvl w:val="0"/>
          <w:numId w:val="0"/>
        </w:numPr>
        <w:tabs>
          <w:tab w:val="left" w:pos="1985"/>
        </w:tabs>
        <w:ind w:left="1134"/>
        <w:rPr>
          <w:rFonts w:cs="Times New Roman"/>
        </w:rPr>
      </w:pPr>
    </w:p>
    <w:p w14:paraId="1D69A9F9" w14:textId="03547380" w:rsidR="00882B10" w:rsidRPr="00425C6E" w:rsidRDefault="00C15224" w:rsidP="00882B10"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425C6E">
        <w:rPr>
          <w:rFonts w:ascii="Times New Roman" w:hAnsi="Times New Roman" w:cs="Times New Roman"/>
          <w:b/>
          <w:sz w:val="24"/>
        </w:rPr>
        <w:t xml:space="preserve">Seção </w:t>
      </w:r>
      <w:r w:rsidR="00882B10" w:rsidRPr="00425C6E">
        <w:rPr>
          <w:rFonts w:ascii="Times New Roman" w:hAnsi="Times New Roman" w:cs="Times New Roman"/>
          <w:b/>
          <w:sz w:val="24"/>
        </w:rPr>
        <w:t>III</w:t>
      </w:r>
    </w:p>
    <w:p w14:paraId="79AA766B" w14:textId="1B75C276" w:rsidR="00882B10" w:rsidRPr="00425C6E" w:rsidRDefault="00C15224" w:rsidP="00882B10">
      <w:pPr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425C6E">
        <w:rPr>
          <w:rFonts w:ascii="Times New Roman" w:hAnsi="Times New Roman" w:cs="Times New Roman"/>
          <w:b/>
          <w:sz w:val="24"/>
        </w:rPr>
        <w:t>Dos Riscos, Segurança da Informação e Proteção de Dados</w:t>
      </w:r>
    </w:p>
    <w:p w14:paraId="70332714" w14:textId="77777777" w:rsidR="0094526B" w:rsidRPr="00425C6E" w:rsidRDefault="0094526B" w:rsidP="00882B10">
      <w:pPr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1D130EA5" w14:textId="1E50A1DF" w:rsidR="003975F5" w:rsidRPr="00425C6E" w:rsidRDefault="003975F5" w:rsidP="00E70D39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Cada órgão deverá elaborar Plano de Gestão de Continuidade de Negócios ou de Serviços no qual estabeleça estratégias e planos de ação que garantam o funcionamento dos serviços essenciais quando na ocorrência de falhas.</w:t>
      </w:r>
    </w:p>
    <w:p w14:paraId="74B1C086" w14:textId="7841844B" w:rsidR="003975F5" w:rsidRPr="00425C6E" w:rsidRDefault="003975F5" w:rsidP="003975F5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deverá elaborar Plano de Gestão de Riscos </w:t>
      </w:r>
      <w:r w:rsidR="00090C20" w:rsidRPr="00425C6E">
        <w:rPr>
          <w:rFonts w:cs="Times New Roman"/>
        </w:rPr>
        <w:t>d</w:t>
      </w:r>
      <w:r w:rsidRPr="00425C6E">
        <w:rPr>
          <w:rFonts w:cs="Times New Roman"/>
        </w:rPr>
        <w:t xml:space="preserve">e TIC, com foco na continuidade de negócios, manutenção dos serviços e alinhado </w:t>
      </w:r>
      <w:r w:rsidR="00B30ECE" w:rsidRPr="00425C6E">
        <w:rPr>
          <w:rFonts w:cs="Times New Roman"/>
        </w:rPr>
        <w:t>ao plano</w:t>
      </w:r>
      <w:r w:rsidR="00657CE8" w:rsidRPr="00425C6E">
        <w:rPr>
          <w:rFonts w:cs="Times New Roman"/>
        </w:rPr>
        <w:t xml:space="preserve"> institucional</w:t>
      </w:r>
      <w:r w:rsidR="00B30ECE" w:rsidRPr="00425C6E">
        <w:rPr>
          <w:rFonts w:cs="Times New Roman"/>
        </w:rPr>
        <w:t xml:space="preserve"> de gestão de riscos</w:t>
      </w:r>
      <w:r w:rsidRPr="00425C6E">
        <w:rPr>
          <w:rFonts w:cs="Times New Roman"/>
        </w:rPr>
        <w:t xml:space="preserve">, objetivando mitigar as ameaças mapeadas para atuar de forma preditiva e preventiva às possíveis incertezas. </w:t>
      </w:r>
    </w:p>
    <w:p w14:paraId="1351EE68" w14:textId="23AF6FC8" w:rsidR="005639A0" w:rsidRPr="00425C6E" w:rsidRDefault="005639A0" w:rsidP="00EC14F1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deverá elaborar e aplicar práticas e processos de segurança da informação e proteção de dados a serem </w:t>
      </w:r>
      <w:r w:rsidR="00BF4316" w:rsidRPr="00425C6E">
        <w:rPr>
          <w:rFonts w:cs="Times New Roman"/>
        </w:rPr>
        <w:t>adotadas n</w:t>
      </w:r>
      <w:r w:rsidRPr="00425C6E">
        <w:rPr>
          <w:rFonts w:cs="Times New Roman"/>
        </w:rPr>
        <w:t>a instituição, conforme disposto na Lei nº. 13.709/2018</w:t>
      </w:r>
      <w:r w:rsidR="00380EA0" w:rsidRPr="00425C6E">
        <w:rPr>
          <w:rFonts w:cs="Times New Roman"/>
        </w:rPr>
        <w:t xml:space="preserve"> que dispõe sobre a Proteção de Dados Pessoais</w:t>
      </w:r>
      <w:r w:rsidR="00BF4316" w:rsidRPr="00425C6E">
        <w:rPr>
          <w:rFonts w:cs="Times New Roman"/>
        </w:rPr>
        <w:t>.</w:t>
      </w:r>
    </w:p>
    <w:p w14:paraId="003BBA34" w14:textId="31F4B1B3" w:rsidR="00EC14F1" w:rsidRPr="00425C6E" w:rsidRDefault="00EC14F1" w:rsidP="00EC14F1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deverá definir </w:t>
      </w:r>
      <w:r w:rsidR="004D33E7" w:rsidRPr="00425C6E">
        <w:rPr>
          <w:rFonts w:cs="Times New Roman"/>
        </w:rPr>
        <w:t xml:space="preserve">a </w:t>
      </w:r>
      <w:r w:rsidRPr="00425C6E">
        <w:rPr>
          <w:rFonts w:cs="Times New Roman"/>
        </w:rPr>
        <w:t>Política de Segurança da Informação (PSI) em consonância com os objetivos institucionais, da área de TIC e segurança da informação.</w:t>
      </w:r>
    </w:p>
    <w:p w14:paraId="1C9935B8" w14:textId="210B7ACA" w:rsidR="00774E43" w:rsidRPr="00425C6E" w:rsidRDefault="00E70D39" w:rsidP="00E70D39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shd w:val="clear" w:color="auto" w:fill="FFFFFF"/>
        </w:rPr>
        <w:t xml:space="preserve">Cada órgão deverá constituir ou manter um Comitê Gestor de Segurança da Informação multidisciplinar, composto por </w:t>
      </w:r>
      <w:r w:rsidR="00A17A07" w:rsidRPr="00425C6E">
        <w:rPr>
          <w:shd w:val="clear" w:color="auto" w:fill="FFFFFF"/>
        </w:rPr>
        <w:t>titulares</w:t>
      </w:r>
      <w:r w:rsidRPr="00425C6E">
        <w:rPr>
          <w:shd w:val="clear" w:color="auto" w:fill="FFFFFF"/>
        </w:rPr>
        <w:t xml:space="preserve"> de todas as áreas estratégicas do órgão e </w:t>
      </w:r>
      <w:r w:rsidR="00A17A07" w:rsidRPr="00425C6E">
        <w:rPr>
          <w:shd w:val="clear" w:color="auto" w:fill="FFFFFF"/>
        </w:rPr>
        <w:t>coordenado pelo</w:t>
      </w:r>
      <w:r w:rsidRPr="00425C6E">
        <w:rPr>
          <w:shd w:val="clear" w:color="auto" w:fill="FFFFFF"/>
        </w:rPr>
        <w:t xml:space="preserve"> titular da área de Tecnologia da Informação e Comunicação</w:t>
      </w:r>
      <w:r w:rsidR="00774E43" w:rsidRPr="00425C6E">
        <w:rPr>
          <w:shd w:val="clear" w:color="auto" w:fill="FFFFFF"/>
        </w:rPr>
        <w:t>.</w:t>
      </w:r>
      <w:r w:rsidR="00903470" w:rsidRPr="00425C6E">
        <w:rPr>
          <w:rFonts w:cs="Times New Roman"/>
        </w:rPr>
        <w:t xml:space="preserve"> </w:t>
      </w:r>
    </w:p>
    <w:p w14:paraId="4292C3D3" w14:textId="5597B076" w:rsidR="00E70D39" w:rsidRPr="00425C6E" w:rsidRDefault="00997E19" w:rsidP="00F06491">
      <w:pPr>
        <w:pStyle w:val="Artigopargrafos"/>
        <w:numPr>
          <w:ilvl w:val="0"/>
          <w:numId w:val="49"/>
        </w:numPr>
        <w:ind w:left="0" w:firstLine="773"/>
        <w:rPr>
          <w:rFonts w:cs="Times New Roman"/>
        </w:rPr>
      </w:pPr>
      <w:r w:rsidRPr="00425C6E">
        <w:rPr>
          <w:rFonts w:cs="Times New Roman"/>
        </w:rPr>
        <w:t xml:space="preserve">O Comitê será </w:t>
      </w:r>
      <w:r w:rsidR="00E70D39" w:rsidRPr="00425C6E">
        <w:rPr>
          <w:rFonts w:cs="Times New Roman"/>
        </w:rPr>
        <w:t xml:space="preserve">responsável </w:t>
      </w:r>
      <w:r w:rsidR="00774E43" w:rsidRPr="00425C6E">
        <w:rPr>
          <w:rFonts w:cs="Times New Roman"/>
        </w:rPr>
        <w:t xml:space="preserve">por </w:t>
      </w:r>
      <w:r w:rsidR="00E15EFC" w:rsidRPr="00425C6E">
        <w:rPr>
          <w:rFonts w:cs="Times New Roman"/>
        </w:rPr>
        <w:t xml:space="preserve">aprovar </w:t>
      </w:r>
      <w:r w:rsidRPr="00425C6E">
        <w:rPr>
          <w:rFonts w:cs="Times New Roman"/>
        </w:rPr>
        <w:t>e revisar</w:t>
      </w:r>
      <w:r w:rsidR="00061BF0" w:rsidRPr="00425C6E">
        <w:rPr>
          <w:rFonts w:cs="Times New Roman"/>
        </w:rPr>
        <w:t xml:space="preserve"> periodicamente</w:t>
      </w:r>
      <w:r w:rsidR="005365C0" w:rsidRPr="00425C6E">
        <w:rPr>
          <w:rFonts w:cs="Times New Roman"/>
        </w:rPr>
        <w:t xml:space="preserve"> </w:t>
      </w:r>
      <w:r w:rsidR="00061BF0" w:rsidRPr="00425C6E">
        <w:rPr>
          <w:rFonts w:cs="Times New Roman"/>
        </w:rPr>
        <w:t>a Política de Segurança da Informação (PSI)</w:t>
      </w:r>
      <w:r w:rsidRPr="00425C6E">
        <w:rPr>
          <w:rFonts w:cs="Times New Roman"/>
        </w:rPr>
        <w:t>;</w:t>
      </w:r>
    </w:p>
    <w:p w14:paraId="20F3E8D1" w14:textId="32447B76" w:rsidR="00997E19" w:rsidRPr="00425C6E" w:rsidRDefault="00997E19" w:rsidP="00A17A07">
      <w:pPr>
        <w:pStyle w:val="Artigopargrafos"/>
        <w:numPr>
          <w:ilvl w:val="0"/>
          <w:numId w:val="49"/>
        </w:numPr>
        <w:ind w:left="0" w:firstLine="773"/>
        <w:rPr>
          <w:rFonts w:cs="Times New Roman"/>
        </w:rPr>
      </w:pPr>
      <w:r w:rsidRPr="00425C6E">
        <w:rPr>
          <w:rFonts w:cs="Times New Roman"/>
        </w:rPr>
        <w:t>Compete ao comitê acompanhar os processos de segurança da informação e</w:t>
      </w:r>
      <w:r w:rsidR="001B3A8B" w:rsidRPr="00425C6E">
        <w:rPr>
          <w:rFonts w:cs="Times New Roman"/>
        </w:rPr>
        <w:t xml:space="preserve"> </w:t>
      </w:r>
      <w:r w:rsidR="009B1DFF" w:rsidRPr="00425C6E">
        <w:rPr>
          <w:rFonts w:cs="Times New Roman"/>
        </w:rPr>
        <w:t>os processos</w:t>
      </w:r>
      <w:r w:rsidR="001B3A8B" w:rsidRPr="00425C6E">
        <w:rPr>
          <w:rFonts w:cs="Times New Roman"/>
        </w:rPr>
        <w:t xml:space="preserve"> de </w:t>
      </w:r>
      <w:r w:rsidRPr="00425C6E">
        <w:rPr>
          <w:rFonts w:cs="Times New Roman"/>
        </w:rPr>
        <w:t>proteção de dados pessoais</w:t>
      </w:r>
      <w:r w:rsidR="00903470" w:rsidRPr="00425C6E">
        <w:rPr>
          <w:rFonts w:cs="Times New Roman"/>
        </w:rPr>
        <w:t>;</w:t>
      </w:r>
      <w:r w:rsidRPr="00425C6E">
        <w:rPr>
          <w:rFonts w:cs="Times New Roman"/>
        </w:rPr>
        <w:t xml:space="preserve"> </w:t>
      </w:r>
    </w:p>
    <w:p w14:paraId="524FA14D" w14:textId="2FB44598" w:rsidR="00E70D39" w:rsidRPr="00425C6E" w:rsidRDefault="00061BF0" w:rsidP="00A17A07">
      <w:pPr>
        <w:pStyle w:val="Artigopargrafos"/>
        <w:numPr>
          <w:ilvl w:val="0"/>
          <w:numId w:val="49"/>
        </w:numPr>
        <w:ind w:left="0" w:firstLine="773"/>
        <w:rPr>
          <w:rFonts w:cs="Times New Roman"/>
        </w:rPr>
      </w:pPr>
      <w:r w:rsidRPr="00425C6E">
        <w:rPr>
          <w:rFonts w:cs="Times New Roman"/>
        </w:rPr>
        <w:t>As atribuições previstas neste artigo serão desenvolvidas em todos os níveis da instituição e em harmonia com as diretrizes nacionais preconizadas pelo Conselho Nacional de Justiça.</w:t>
      </w:r>
    </w:p>
    <w:p w14:paraId="714BFA64" w14:textId="1EE9ED1A" w:rsidR="00620CD9" w:rsidRPr="00425C6E" w:rsidRDefault="00620CD9" w:rsidP="00620CD9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órgão deverá constituir um Comitê gestor institucional para tratar da Lei Geral de Proteção de dados </w:t>
      </w:r>
      <w:r w:rsidR="00B8523F" w:rsidRPr="00425C6E">
        <w:rPr>
          <w:rFonts w:cs="Times New Roman"/>
        </w:rPr>
        <w:t>-</w:t>
      </w:r>
      <w:r w:rsidRPr="00425C6E">
        <w:rPr>
          <w:rFonts w:cs="Times New Roman"/>
        </w:rPr>
        <w:t xml:space="preserve"> LGPD, que ficará responsável pela avaliação dos mecanismos de tratamento e proteção dos dados existentes, pela proposição de ações voltadas a seu aperfeiçoamento e por gerar os requisitos para área de TIC, em consonância com as diretrizes nacionais preconizadas pelo Conselho Nacional de Justiça.</w:t>
      </w:r>
    </w:p>
    <w:p w14:paraId="37EBCD17" w14:textId="01A71AC8" w:rsidR="00C02EDD" w:rsidRPr="00425C6E" w:rsidRDefault="00A87473" w:rsidP="00183D4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V</w:t>
      </w:r>
    </w:p>
    <w:p w14:paraId="6C27B083" w14:textId="4962453D" w:rsidR="00C02EDD" w:rsidRPr="00425C6E" w:rsidRDefault="00A87473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Do Desdobramento da Estratégia</w:t>
      </w:r>
    </w:p>
    <w:p w14:paraId="5A065804" w14:textId="2A18E518" w:rsidR="002E6C49" w:rsidRPr="00425C6E" w:rsidRDefault="002E6C49" w:rsidP="004E2550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16F5F568" w14:textId="21AD0F79" w:rsidR="00D90004" w:rsidRPr="00425C6E" w:rsidRDefault="00D90004" w:rsidP="00D90004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bookmarkStart w:id="7" w:name="_Ref47457487"/>
      <w:bookmarkStart w:id="8" w:name="_Hlk47103421"/>
      <w:r w:rsidRPr="00425C6E">
        <w:rPr>
          <w:rFonts w:cs="Times New Roman"/>
        </w:rPr>
        <w:t xml:space="preserve">Os órgãos submetidos ao controle administrativo e financeiro do </w:t>
      </w:r>
      <w:r w:rsidR="00F237F3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F237F3" w:rsidRPr="00425C6E">
        <w:rPr>
          <w:rFonts w:cs="Times New Roman"/>
        </w:rPr>
        <w:t xml:space="preserve">) </w:t>
      </w:r>
      <w:r w:rsidRPr="00425C6E">
        <w:rPr>
          <w:rFonts w:cs="Times New Roman"/>
        </w:rPr>
        <w:t>deverão alinhar, até julho de 2021, os seus respectivos Planos Diretores de Tecnologia da Informação</w:t>
      </w:r>
      <w:r w:rsidR="004A113A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e Comunicação</w:t>
      </w:r>
      <w:r w:rsidR="00F8268F" w:rsidRPr="00425C6E">
        <w:rPr>
          <w:rFonts w:cs="Times New Roman"/>
        </w:rPr>
        <w:t xml:space="preserve"> (PDTIC) </w:t>
      </w:r>
      <w:r w:rsidRPr="00425C6E">
        <w:rPr>
          <w:rFonts w:cs="Times New Roman"/>
        </w:rPr>
        <w:t xml:space="preserve">à </w:t>
      </w:r>
      <w:r w:rsidR="00F237F3" w:rsidRPr="00425C6E">
        <w:rPr>
          <w:rFonts w:cs="Times New Roman"/>
        </w:rPr>
        <w:t xml:space="preserve">Estratégia Nacional de Tecnologia da Informação e Comunicação do Poder Judiciário </w:t>
      </w:r>
      <w:r w:rsidR="000F7B98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>, contemplando elementos mínimos elencados abaixo:</w:t>
      </w:r>
      <w:bookmarkEnd w:id="7"/>
    </w:p>
    <w:bookmarkEnd w:id="8"/>
    <w:p w14:paraId="5FDD9D21" w14:textId="4A8C138B" w:rsidR="00D90004" w:rsidRPr="00425C6E" w:rsidRDefault="00D90004" w:rsidP="007B1674">
      <w:pPr>
        <w:pStyle w:val="PargrafodaLista"/>
        <w:numPr>
          <w:ilvl w:val="0"/>
          <w:numId w:val="9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Alinhamento à </w:t>
      </w:r>
      <w:r w:rsidR="00F237F3" w:rsidRPr="00425C6E">
        <w:rPr>
          <w:rFonts w:ascii="Times New Roman" w:hAnsi="Times New Roman" w:cs="Times New Roman"/>
          <w:sz w:val="24"/>
        </w:rPr>
        <w:t xml:space="preserve">Estratégia Nacional de Tecnologia da Informação e Comunicação do Poder Judiciário </w:t>
      </w:r>
      <w:r w:rsidR="000F7B98" w:rsidRPr="00425C6E">
        <w:rPr>
          <w:rFonts w:ascii="Times New Roman" w:hAnsi="Times New Roman" w:cs="Times New Roman"/>
          <w:sz w:val="24"/>
        </w:rPr>
        <w:t>(</w:t>
      </w:r>
      <w:r w:rsidRPr="00425C6E">
        <w:rPr>
          <w:rFonts w:ascii="Times New Roman" w:hAnsi="Times New Roman" w:cs="Times New Roman"/>
          <w:sz w:val="24"/>
        </w:rPr>
        <w:t>ENTIC-JUD</w:t>
      </w:r>
      <w:r w:rsidR="000F7B98" w:rsidRPr="00425C6E">
        <w:rPr>
          <w:rFonts w:ascii="Times New Roman" w:hAnsi="Times New Roman" w:cs="Times New Roman"/>
          <w:sz w:val="24"/>
        </w:rPr>
        <w:t>)</w:t>
      </w:r>
      <w:r w:rsidRPr="00425C6E">
        <w:rPr>
          <w:rFonts w:ascii="Times New Roman" w:hAnsi="Times New Roman" w:cs="Times New Roman"/>
          <w:sz w:val="24"/>
        </w:rPr>
        <w:t xml:space="preserve"> e ao </w:t>
      </w:r>
      <w:r w:rsidR="00C84E40" w:rsidRPr="00425C6E">
        <w:rPr>
          <w:rFonts w:ascii="Times New Roman" w:hAnsi="Times New Roman" w:cs="Times New Roman"/>
          <w:sz w:val="24"/>
        </w:rPr>
        <w:t>Plano Estratégico Institucional</w:t>
      </w:r>
      <w:r w:rsidR="24CA0AAC" w:rsidRPr="00425C6E">
        <w:rPr>
          <w:rFonts w:ascii="Times New Roman" w:hAnsi="Times New Roman" w:cs="Times New Roman"/>
          <w:sz w:val="24"/>
        </w:rPr>
        <w:t>;</w:t>
      </w:r>
    </w:p>
    <w:p w14:paraId="53E1EBC1" w14:textId="77777777" w:rsidR="00D90004" w:rsidRPr="00425C6E" w:rsidRDefault="00D90004" w:rsidP="007B1674">
      <w:pPr>
        <w:pStyle w:val="PargrafodaLista"/>
        <w:numPr>
          <w:ilvl w:val="0"/>
          <w:numId w:val="9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As diretrizes estabelecidas em resoluções, recomendações e políticas inerentes à TIC instituídas para a concretização das estratégias nacionais do Poder Judiciário;</w:t>
      </w:r>
    </w:p>
    <w:p w14:paraId="2A9BBDDF" w14:textId="77777777" w:rsidR="00D90004" w:rsidRPr="00425C6E" w:rsidRDefault="00D90004" w:rsidP="007B1674">
      <w:pPr>
        <w:pStyle w:val="PargrafodaLista"/>
        <w:numPr>
          <w:ilvl w:val="0"/>
          <w:numId w:val="9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As metas associadas aos indicadores de resultado;</w:t>
      </w:r>
    </w:p>
    <w:p w14:paraId="1231151F" w14:textId="14C330DA" w:rsidR="00D90004" w:rsidRPr="00425C6E" w:rsidRDefault="00D90004" w:rsidP="007B1674">
      <w:pPr>
        <w:pStyle w:val="PargrafodaLista"/>
        <w:numPr>
          <w:ilvl w:val="0"/>
          <w:numId w:val="9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Ações a serem implantadas no ciclo estratégico.</w:t>
      </w:r>
    </w:p>
    <w:p w14:paraId="699900DC" w14:textId="631B6094" w:rsidR="007C0086" w:rsidRPr="00425C6E" w:rsidRDefault="007C0086" w:rsidP="007E7EA5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Os órgãos que já possuem os instrumentos estratégicos e diretores de TIC poderão consolidar </w:t>
      </w:r>
      <w:r w:rsidR="007E7EA5" w:rsidRPr="00425C6E">
        <w:rPr>
          <w:rFonts w:cs="Times New Roman"/>
        </w:rPr>
        <w:t xml:space="preserve">as </w:t>
      </w:r>
      <w:r w:rsidRPr="00425C6E">
        <w:rPr>
          <w:rFonts w:cs="Times New Roman"/>
        </w:rPr>
        <w:t xml:space="preserve">iniciativas </w:t>
      </w:r>
      <w:r w:rsidR="007E7EA5" w:rsidRPr="00425C6E">
        <w:rPr>
          <w:rFonts w:cs="Times New Roman"/>
        </w:rPr>
        <w:t xml:space="preserve">previstas nos incisos do </w:t>
      </w:r>
      <w:r w:rsidR="00B954B8" w:rsidRPr="00425C6E">
        <w:rPr>
          <w:rFonts w:cs="Times New Roman"/>
        </w:rPr>
        <w:fldChar w:fldCharType="begin"/>
      </w:r>
      <w:r w:rsidR="00B954B8" w:rsidRPr="00425C6E">
        <w:rPr>
          <w:rFonts w:cs="Times New Roman"/>
        </w:rPr>
        <w:instrText xml:space="preserve"> REF _Ref47457487 \n \h </w:instrText>
      </w:r>
      <w:r w:rsidR="00D1067F" w:rsidRPr="00425C6E">
        <w:rPr>
          <w:rFonts w:cs="Times New Roman"/>
        </w:rPr>
        <w:instrText xml:space="preserve"> \* MERGEFORMAT </w:instrText>
      </w:r>
      <w:r w:rsidR="00B954B8" w:rsidRPr="00425C6E">
        <w:rPr>
          <w:rFonts w:cs="Times New Roman"/>
        </w:rPr>
      </w:r>
      <w:r w:rsidR="00B954B8" w:rsidRPr="00425C6E">
        <w:rPr>
          <w:rFonts w:cs="Times New Roman"/>
        </w:rPr>
        <w:fldChar w:fldCharType="separate"/>
      </w:r>
      <w:r w:rsidR="00C27E17" w:rsidRPr="00425C6E">
        <w:rPr>
          <w:rFonts w:cs="Times New Roman"/>
        </w:rPr>
        <w:t>Art. 41</w:t>
      </w:r>
      <w:r w:rsidR="00B954B8" w:rsidRPr="00425C6E">
        <w:rPr>
          <w:rFonts w:cs="Times New Roman"/>
        </w:rPr>
        <w:fldChar w:fldCharType="end"/>
      </w:r>
      <w:r w:rsidR="00892B5A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>em um único plano.</w:t>
      </w:r>
    </w:p>
    <w:p w14:paraId="086C34BA" w14:textId="11DDA2E5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F237F3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F237F3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divulgará anualmente em seu portal na internet </w:t>
      </w:r>
      <w:r w:rsidR="00B712D9" w:rsidRPr="00425C6E">
        <w:rPr>
          <w:rFonts w:cs="Times New Roman"/>
        </w:rPr>
        <w:t xml:space="preserve">os indicadores nacionais e metas de medição periódicas </w:t>
      </w:r>
      <w:r w:rsidRPr="00425C6E">
        <w:rPr>
          <w:rFonts w:cs="Times New Roman"/>
        </w:rPr>
        <w:t xml:space="preserve">de Tecnologia da Informação e Comunicação a serem alcançadas pelos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em cada ano, bem como acompanhará o cumprimento da </w:t>
      </w:r>
      <w:r w:rsidR="00F237F3" w:rsidRPr="00425C6E">
        <w:rPr>
          <w:rFonts w:cs="Times New Roman"/>
        </w:rPr>
        <w:t xml:space="preserve">Estratégia Nacional de Tecnologia da Informação e Comunicação do Poder Judiciário </w:t>
      </w:r>
      <w:r w:rsidR="000F7B98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promoverá medidas necessárias à melhoria do desempenho, quando necessário.</w:t>
      </w:r>
    </w:p>
    <w:p w14:paraId="039890D5" w14:textId="20EECBA1" w:rsidR="006E0BA8" w:rsidRPr="00425C6E" w:rsidRDefault="00C02EDD" w:rsidP="00A9675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Parágrafo único. Sem prejuízo da atuação de que trata o caput, os </w:t>
      </w:r>
      <w:r w:rsidR="00C70AEA" w:rsidRPr="00425C6E">
        <w:rPr>
          <w:rFonts w:ascii="Times New Roman" w:hAnsi="Times New Roman" w:cs="Times New Roman"/>
          <w:sz w:val="24"/>
        </w:rPr>
        <w:t>órgãos</w:t>
      </w:r>
      <w:r w:rsidRPr="00425C6E">
        <w:rPr>
          <w:rFonts w:ascii="Times New Roman" w:hAnsi="Times New Roman" w:cs="Times New Roman"/>
          <w:sz w:val="24"/>
        </w:rPr>
        <w:t xml:space="preserve"> promoverão em seu âmbito o acompanhamento dos resultados das metas institucionais e nacionais estabelecidas.</w:t>
      </w:r>
      <w:r w:rsidR="00121196" w:rsidRPr="00425C6E">
        <w:rPr>
          <w:rFonts w:ascii="Times New Roman" w:hAnsi="Times New Roman" w:cs="Times New Roman"/>
          <w:sz w:val="24"/>
        </w:rPr>
        <w:t xml:space="preserve"> </w:t>
      </w:r>
    </w:p>
    <w:p w14:paraId="02577F8D" w14:textId="595EE11F" w:rsidR="00C02EDD" w:rsidRPr="00425C6E" w:rsidRDefault="00A87473" w:rsidP="004E255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VI</w:t>
      </w:r>
    </w:p>
    <w:p w14:paraId="71C4F213" w14:textId="77D05C30" w:rsidR="00C02EDD" w:rsidRPr="00425C6E" w:rsidRDefault="00A87473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 Execução da Estratégia</w:t>
      </w:r>
    </w:p>
    <w:p w14:paraId="2FA4CB5F" w14:textId="77777777" w:rsidR="00D33CFD" w:rsidRPr="00425C6E" w:rsidRDefault="00D33CFD" w:rsidP="004E2550">
      <w:pPr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134640A0" w14:textId="70C4659D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Cada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deverá elaborar um Plano de Trabalho para </w:t>
      </w:r>
      <w:r w:rsidR="00BB0A83" w:rsidRPr="00425C6E">
        <w:rPr>
          <w:rFonts w:cs="Times New Roman"/>
        </w:rPr>
        <w:t>atendimento</w:t>
      </w:r>
      <w:r w:rsidRPr="00425C6E">
        <w:rPr>
          <w:rFonts w:cs="Times New Roman"/>
        </w:rPr>
        <w:t xml:space="preserve"> aos critérios estabelecidos nesta Resolução, conforme modelo a ser disponibilizado pelo </w:t>
      </w:r>
      <w:r w:rsidR="000F7B98" w:rsidRPr="00425C6E">
        <w:rPr>
          <w:rFonts w:cs="Times New Roman"/>
        </w:rPr>
        <w:t>Conselho Nacional de Justiça (</w:t>
      </w:r>
      <w:r w:rsidR="00F76E5C"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="00F76E5C" w:rsidRPr="00425C6E">
        <w:rPr>
          <w:rFonts w:cs="Times New Roman"/>
        </w:rPr>
        <w:t>.</w:t>
      </w:r>
    </w:p>
    <w:p w14:paraId="0929E330" w14:textId="71CC2CD6" w:rsidR="00C02EDD" w:rsidRPr="00425C6E" w:rsidRDefault="00C02EDD" w:rsidP="007B1674">
      <w:pPr>
        <w:pStyle w:val="Artigopargrafos"/>
        <w:numPr>
          <w:ilvl w:val="0"/>
          <w:numId w:val="14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Plano de Trabalho deverá ser entregue ao </w:t>
      </w:r>
      <w:r w:rsidR="00F237F3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F237F3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até </w:t>
      </w:r>
      <w:r w:rsidR="00B712D9" w:rsidRPr="00425C6E">
        <w:rPr>
          <w:rFonts w:cs="Times New Roman"/>
        </w:rPr>
        <w:t>julho</w:t>
      </w:r>
      <w:r w:rsidRPr="00425C6E">
        <w:rPr>
          <w:rFonts w:cs="Times New Roman"/>
        </w:rPr>
        <w:t xml:space="preserve"> de </w:t>
      </w:r>
      <w:r w:rsidR="007D6CBD" w:rsidRPr="00425C6E">
        <w:rPr>
          <w:rFonts w:cs="Times New Roman"/>
        </w:rPr>
        <w:t>202</w:t>
      </w:r>
      <w:r w:rsidR="001A5B59" w:rsidRPr="00425C6E">
        <w:rPr>
          <w:rFonts w:cs="Times New Roman"/>
        </w:rPr>
        <w:t>1</w:t>
      </w:r>
      <w:r w:rsidRPr="00425C6E">
        <w:rPr>
          <w:rFonts w:cs="Times New Roman"/>
        </w:rPr>
        <w:t xml:space="preserve"> e seguir a estrutura de grupos de entregáveis,</w:t>
      </w:r>
      <w:r w:rsidR="00A5378F" w:rsidRPr="00425C6E">
        <w:rPr>
          <w:rFonts w:cs="Times New Roman"/>
        </w:rPr>
        <w:t xml:space="preserve"> </w:t>
      </w:r>
      <w:r w:rsidR="00000DD4" w:rsidRPr="00425C6E">
        <w:rPr>
          <w:rFonts w:cs="Times New Roman"/>
        </w:rPr>
        <w:t xml:space="preserve">apresentando </w:t>
      </w:r>
      <w:r w:rsidRPr="00425C6E">
        <w:rPr>
          <w:rFonts w:cs="Times New Roman"/>
        </w:rPr>
        <w:t>os seguintes prazos de atendimento intermediário</w:t>
      </w:r>
      <w:r w:rsidR="00461923" w:rsidRPr="00425C6E">
        <w:rPr>
          <w:rFonts w:cs="Times New Roman"/>
        </w:rPr>
        <w:t>, no que compete à execução do Plano</w:t>
      </w:r>
      <w:r w:rsidRPr="00425C6E">
        <w:rPr>
          <w:rFonts w:cs="Times New Roman"/>
        </w:rPr>
        <w:t>:</w:t>
      </w:r>
    </w:p>
    <w:p w14:paraId="3DE0D1F0" w14:textId="4DA0FBD4" w:rsidR="00B728A5" w:rsidRPr="00425C6E" w:rsidRDefault="00B728A5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1: da colaboração e </w:t>
      </w:r>
      <w:r w:rsidR="00781072" w:rsidRPr="00425C6E">
        <w:rPr>
          <w:rFonts w:ascii="Times New Roman" w:hAnsi="Times New Roman" w:cs="Times New Roman"/>
          <w:sz w:val="24"/>
        </w:rPr>
        <w:t>inovação</w:t>
      </w:r>
      <w:r w:rsidRPr="00425C6E">
        <w:rPr>
          <w:rFonts w:ascii="Times New Roman" w:hAnsi="Times New Roman" w:cs="Times New Roman"/>
          <w:sz w:val="24"/>
        </w:rPr>
        <w:t xml:space="preserve"> o prazo é de até </w:t>
      </w:r>
      <w:r w:rsidR="00AD7B66" w:rsidRPr="00425C6E">
        <w:rPr>
          <w:rFonts w:ascii="Times New Roman" w:hAnsi="Times New Roman" w:cs="Times New Roman"/>
          <w:sz w:val="24"/>
        </w:rPr>
        <w:t>02 (dois) anos</w:t>
      </w:r>
      <w:r w:rsidRPr="00425C6E">
        <w:rPr>
          <w:rFonts w:ascii="Times New Roman" w:hAnsi="Times New Roman" w:cs="Times New Roman"/>
          <w:sz w:val="24"/>
        </w:rPr>
        <w:t>, contado após a vigência desta Resolução;</w:t>
      </w:r>
    </w:p>
    <w:p w14:paraId="26FD7098" w14:textId="1F14D891" w:rsidR="00C02EDD" w:rsidRPr="00425C6E" w:rsidRDefault="00C02EDD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</w:t>
      </w:r>
      <w:r w:rsidR="00B728A5" w:rsidRPr="00425C6E">
        <w:rPr>
          <w:rFonts w:ascii="Times New Roman" w:hAnsi="Times New Roman" w:cs="Times New Roman"/>
          <w:sz w:val="24"/>
        </w:rPr>
        <w:t>2</w:t>
      </w:r>
      <w:r w:rsidRPr="00425C6E">
        <w:rPr>
          <w:rFonts w:ascii="Times New Roman" w:hAnsi="Times New Roman" w:cs="Times New Roman"/>
          <w:sz w:val="24"/>
        </w:rPr>
        <w:t xml:space="preserve">: da governança e gestão de </w:t>
      </w:r>
      <w:r w:rsidR="00E47D5B" w:rsidRPr="00425C6E">
        <w:rPr>
          <w:rFonts w:ascii="Times New Roman" w:hAnsi="Times New Roman" w:cs="Times New Roman"/>
          <w:sz w:val="24"/>
        </w:rPr>
        <w:t>t</w:t>
      </w:r>
      <w:r w:rsidRPr="00425C6E">
        <w:rPr>
          <w:rFonts w:ascii="Times New Roman" w:hAnsi="Times New Roman" w:cs="Times New Roman"/>
          <w:sz w:val="24"/>
        </w:rPr>
        <w:t xml:space="preserve">ecnologia da </w:t>
      </w:r>
      <w:r w:rsidR="00E47D5B" w:rsidRPr="00425C6E">
        <w:rPr>
          <w:rFonts w:ascii="Times New Roman" w:hAnsi="Times New Roman" w:cs="Times New Roman"/>
          <w:sz w:val="24"/>
        </w:rPr>
        <w:t>i</w:t>
      </w:r>
      <w:r w:rsidRPr="00425C6E">
        <w:rPr>
          <w:rFonts w:ascii="Times New Roman" w:hAnsi="Times New Roman" w:cs="Times New Roman"/>
          <w:sz w:val="24"/>
        </w:rPr>
        <w:t xml:space="preserve">nformação e </w:t>
      </w:r>
      <w:r w:rsidR="00E47D5B" w:rsidRPr="00425C6E">
        <w:rPr>
          <w:rFonts w:ascii="Times New Roman" w:hAnsi="Times New Roman" w:cs="Times New Roman"/>
          <w:sz w:val="24"/>
        </w:rPr>
        <w:t>c</w:t>
      </w:r>
      <w:r w:rsidRPr="00425C6E">
        <w:rPr>
          <w:rFonts w:ascii="Times New Roman" w:hAnsi="Times New Roman" w:cs="Times New Roman"/>
          <w:sz w:val="24"/>
        </w:rPr>
        <w:t xml:space="preserve">omunicação o prazo é de até </w:t>
      </w:r>
      <w:r w:rsidR="006F2445" w:rsidRPr="00425C6E">
        <w:rPr>
          <w:rFonts w:ascii="Times New Roman" w:hAnsi="Times New Roman" w:cs="Times New Roman"/>
          <w:sz w:val="24"/>
        </w:rPr>
        <w:t>0</w:t>
      </w:r>
      <w:r w:rsidRPr="00425C6E">
        <w:rPr>
          <w:rFonts w:ascii="Times New Roman" w:hAnsi="Times New Roman" w:cs="Times New Roman"/>
          <w:sz w:val="24"/>
        </w:rPr>
        <w:t>1 (um) ano, contado após a vigência desta Resolução;</w:t>
      </w:r>
    </w:p>
    <w:p w14:paraId="72BE5E2B" w14:textId="1DC83736" w:rsidR="00C3499D" w:rsidRPr="00425C6E" w:rsidRDefault="00C3499D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3: da </w:t>
      </w:r>
      <w:r w:rsidR="00781072" w:rsidRPr="00425C6E">
        <w:rPr>
          <w:rFonts w:ascii="Times New Roman" w:hAnsi="Times New Roman" w:cs="Times New Roman"/>
          <w:sz w:val="24"/>
        </w:rPr>
        <w:t>segurança da informação</w:t>
      </w:r>
      <w:r w:rsidRPr="00425C6E">
        <w:rPr>
          <w:rFonts w:ascii="Times New Roman" w:hAnsi="Times New Roman" w:cs="Times New Roman"/>
          <w:sz w:val="24"/>
        </w:rPr>
        <w:t xml:space="preserve"> e </w:t>
      </w:r>
      <w:r w:rsidR="00D9114D" w:rsidRPr="00425C6E">
        <w:rPr>
          <w:rFonts w:ascii="Times New Roman" w:hAnsi="Times New Roman" w:cs="Times New Roman"/>
          <w:sz w:val="24"/>
        </w:rPr>
        <w:t>proteção</w:t>
      </w:r>
      <w:r w:rsidRPr="00425C6E">
        <w:rPr>
          <w:rFonts w:ascii="Times New Roman" w:hAnsi="Times New Roman" w:cs="Times New Roman"/>
          <w:sz w:val="24"/>
        </w:rPr>
        <w:t xml:space="preserve"> de dados o prazo é de até </w:t>
      </w:r>
      <w:r w:rsidR="006F2445" w:rsidRPr="00425C6E">
        <w:rPr>
          <w:rFonts w:ascii="Times New Roman" w:hAnsi="Times New Roman" w:cs="Times New Roman"/>
          <w:sz w:val="24"/>
        </w:rPr>
        <w:t>0</w:t>
      </w:r>
      <w:r w:rsidR="001C3818" w:rsidRPr="00425C6E">
        <w:rPr>
          <w:rFonts w:ascii="Times New Roman" w:hAnsi="Times New Roman" w:cs="Times New Roman"/>
          <w:sz w:val="24"/>
        </w:rPr>
        <w:t>1</w:t>
      </w:r>
      <w:r w:rsidRPr="00425C6E">
        <w:rPr>
          <w:rFonts w:ascii="Times New Roman" w:hAnsi="Times New Roman" w:cs="Times New Roman"/>
          <w:sz w:val="24"/>
        </w:rPr>
        <w:t xml:space="preserve"> (</w:t>
      </w:r>
      <w:r w:rsidR="001C3818" w:rsidRPr="00425C6E">
        <w:rPr>
          <w:rFonts w:ascii="Times New Roman" w:hAnsi="Times New Roman" w:cs="Times New Roman"/>
          <w:sz w:val="24"/>
        </w:rPr>
        <w:t>um</w:t>
      </w:r>
      <w:r w:rsidRPr="00425C6E">
        <w:rPr>
          <w:rFonts w:ascii="Times New Roman" w:hAnsi="Times New Roman" w:cs="Times New Roman"/>
          <w:sz w:val="24"/>
        </w:rPr>
        <w:t>) ano, contado após a vigência desta Resolução;</w:t>
      </w:r>
    </w:p>
    <w:p w14:paraId="6029BBD8" w14:textId="6ECDA3F6" w:rsidR="001C3818" w:rsidRPr="00425C6E" w:rsidRDefault="001C3818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4: </w:t>
      </w:r>
      <w:r w:rsidR="00176FD6" w:rsidRPr="00425C6E">
        <w:rPr>
          <w:rFonts w:ascii="Times New Roman" w:hAnsi="Times New Roman" w:cs="Times New Roman"/>
          <w:sz w:val="24"/>
        </w:rPr>
        <w:t>d</w:t>
      </w:r>
      <w:r w:rsidRPr="00425C6E">
        <w:rPr>
          <w:rFonts w:ascii="Times New Roman" w:hAnsi="Times New Roman" w:cs="Times New Roman"/>
          <w:sz w:val="24"/>
        </w:rPr>
        <w:t xml:space="preserve">as aquisições e contratações o prazo é de até </w:t>
      </w:r>
      <w:r w:rsidR="00AD7B66" w:rsidRPr="00425C6E">
        <w:rPr>
          <w:rFonts w:ascii="Times New Roman" w:hAnsi="Times New Roman" w:cs="Times New Roman"/>
          <w:sz w:val="24"/>
        </w:rPr>
        <w:t>02 (dois) anos</w:t>
      </w:r>
      <w:r w:rsidRPr="00425C6E">
        <w:rPr>
          <w:rFonts w:ascii="Times New Roman" w:hAnsi="Times New Roman" w:cs="Times New Roman"/>
          <w:sz w:val="24"/>
        </w:rPr>
        <w:t>, contados após a vigência desta Resolução</w:t>
      </w:r>
      <w:r w:rsidR="00DA2DCB" w:rsidRPr="00425C6E">
        <w:rPr>
          <w:rFonts w:ascii="Times New Roman" w:hAnsi="Times New Roman" w:cs="Times New Roman"/>
          <w:sz w:val="24"/>
        </w:rPr>
        <w:t>;</w:t>
      </w:r>
    </w:p>
    <w:p w14:paraId="63D54DFC" w14:textId="6A230295" w:rsidR="00C02EDD" w:rsidRPr="00425C6E" w:rsidRDefault="00C02EDD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</w:t>
      </w:r>
      <w:r w:rsidR="001C3818" w:rsidRPr="00425C6E">
        <w:rPr>
          <w:rFonts w:ascii="Times New Roman" w:hAnsi="Times New Roman" w:cs="Times New Roman"/>
          <w:sz w:val="24"/>
        </w:rPr>
        <w:t>5</w:t>
      </w:r>
      <w:r w:rsidR="00CF456B" w:rsidRPr="00425C6E">
        <w:rPr>
          <w:rFonts w:ascii="Times New Roman" w:hAnsi="Times New Roman" w:cs="Times New Roman"/>
          <w:sz w:val="24"/>
        </w:rPr>
        <w:t>:</w:t>
      </w:r>
      <w:r w:rsidRPr="00425C6E">
        <w:rPr>
          <w:rFonts w:ascii="Times New Roman" w:hAnsi="Times New Roman" w:cs="Times New Roman"/>
          <w:sz w:val="24"/>
        </w:rPr>
        <w:t xml:space="preserve"> do</w:t>
      </w:r>
      <w:r w:rsidR="00781072" w:rsidRPr="00425C6E">
        <w:rPr>
          <w:rFonts w:ascii="Times New Roman" w:hAnsi="Times New Roman" w:cs="Times New Roman"/>
          <w:sz w:val="24"/>
        </w:rPr>
        <w:t>s</w:t>
      </w:r>
      <w:r w:rsidR="00C3499D" w:rsidRPr="00425C6E">
        <w:rPr>
          <w:rFonts w:ascii="Times New Roman" w:hAnsi="Times New Roman" w:cs="Times New Roman"/>
          <w:sz w:val="24"/>
        </w:rPr>
        <w:t xml:space="preserve"> serviços de</w:t>
      </w:r>
      <w:r w:rsidR="00781072" w:rsidRPr="00425C6E">
        <w:rPr>
          <w:rFonts w:ascii="Times New Roman" w:hAnsi="Times New Roman" w:cs="Times New Roman"/>
          <w:sz w:val="24"/>
        </w:rPr>
        <w:t xml:space="preserve"> infraestrutura e soluções corporativas</w:t>
      </w:r>
      <w:r w:rsidR="00C3499D" w:rsidRPr="00425C6E">
        <w:rPr>
          <w:rFonts w:ascii="Times New Roman" w:hAnsi="Times New Roman" w:cs="Times New Roman"/>
          <w:sz w:val="24"/>
        </w:rPr>
        <w:t xml:space="preserve"> </w:t>
      </w:r>
      <w:r w:rsidRPr="00425C6E">
        <w:rPr>
          <w:rFonts w:ascii="Times New Roman" w:hAnsi="Times New Roman" w:cs="Times New Roman"/>
          <w:sz w:val="24"/>
        </w:rPr>
        <w:t xml:space="preserve">é de até </w:t>
      </w:r>
      <w:r w:rsidR="006F2445" w:rsidRPr="00425C6E">
        <w:rPr>
          <w:rFonts w:ascii="Times New Roman" w:hAnsi="Times New Roman" w:cs="Times New Roman"/>
          <w:sz w:val="24"/>
        </w:rPr>
        <w:t>0</w:t>
      </w:r>
      <w:r w:rsidRPr="00425C6E">
        <w:rPr>
          <w:rFonts w:ascii="Times New Roman" w:hAnsi="Times New Roman" w:cs="Times New Roman"/>
          <w:sz w:val="24"/>
        </w:rPr>
        <w:t>2 (dois) anos, contados após a vigência desta Resolução;</w:t>
      </w:r>
    </w:p>
    <w:p w14:paraId="091DA36D" w14:textId="66A92135" w:rsidR="00C02EDD" w:rsidRPr="00425C6E" w:rsidRDefault="00C02EDD" w:rsidP="007B1674">
      <w:pPr>
        <w:pStyle w:val="PargrafodaLista"/>
        <w:numPr>
          <w:ilvl w:val="0"/>
          <w:numId w:val="10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</w:t>
      </w:r>
      <w:r w:rsidR="001C3818" w:rsidRPr="00425C6E">
        <w:rPr>
          <w:rFonts w:ascii="Times New Roman" w:hAnsi="Times New Roman" w:cs="Times New Roman"/>
          <w:sz w:val="24"/>
        </w:rPr>
        <w:t>6</w:t>
      </w:r>
      <w:r w:rsidRPr="00425C6E">
        <w:rPr>
          <w:rFonts w:ascii="Times New Roman" w:hAnsi="Times New Roman" w:cs="Times New Roman"/>
          <w:sz w:val="24"/>
        </w:rPr>
        <w:t>: d</w:t>
      </w:r>
      <w:r w:rsidR="00C3499D" w:rsidRPr="00425C6E">
        <w:rPr>
          <w:rFonts w:ascii="Times New Roman" w:hAnsi="Times New Roman" w:cs="Times New Roman"/>
          <w:sz w:val="24"/>
        </w:rPr>
        <w:t xml:space="preserve">o atendimento e satisfação do usuário </w:t>
      </w:r>
      <w:r w:rsidRPr="00425C6E">
        <w:rPr>
          <w:rFonts w:ascii="Times New Roman" w:hAnsi="Times New Roman" w:cs="Times New Roman"/>
          <w:sz w:val="24"/>
        </w:rPr>
        <w:t xml:space="preserve">o prazo é de até </w:t>
      </w:r>
      <w:r w:rsidR="00A421FF" w:rsidRPr="00425C6E">
        <w:rPr>
          <w:rFonts w:ascii="Times New Roman" w:hAnsi="Times New Roman" w:cs="Times New Roman"/>
          <w:sz w:val="24"/>
        </w:rPr>
        <w:t>02 (dois) anos</w:t>
      </w:r>
      <w:r w:rsidRPr="00425C6E">
        <w:rPr>
          <w:rFonts w:ascii="Times New Roman" w:hAnsi="Times New Roman" w:cs="Times New Roman"/>
          <w:sz w:val="24"/>
        </w:rPr>
        <w:t>, contados após a vigência desta Resolução;</w:t>
      </w:r>
    </w:p>
    <w:p w14:paraId="43E58696" w14:textId="7DC502D8" w:rsidR="001C3818" w:rsidRPr="00425C6E" w:rsidRDefault="001C3818" w:rsidP="007B1674">
      <w:pPr>
        <w:pStyle w:val="PargrafodaLista"/>
        <w:numPr>
          <w:ilvl w:val="0"/>
          <w:numId w:val="10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7: </w:t>
      </w:r>
      <w:r w:rsidR="00590D73" w:rsidRPr="00425C6E">
        <w:rPr>
          <w:rFonts w:ascii="Times New Roman" w:hAnsi="Times New Roman" w:cs="Times New Roman"/>
          <w:sz w:val="24"/>
        </w:rPr>
        <w:t>d</w:t>
      </w:r>
      <w:r w:rsidRPr="00425C6E">
        <w:rPr>
          <w:rFonts w:ascii="Times New Roman" w:hAnsi="Times New Roman" w:cs="Times New Roman"/>
          <w:sz w:val="24"/>
        </w:rPr>
        <w:t xml:space="preserve">o desenvolvimento das competências dos colaboradores: o prazo é de até </w:t>
      </w:r>
      <w:r w:rsidR="004E4324" w:rsidRPr="00425C6E">
        <w:rPr>
          <w:rFonts w:ascii="Times New Roman" w:hAnsi="Times New Roman" w:cs="Times New Roman"/>
          <w:sz w:val="24"/>
        </w:rPr>
        <w:t>0</w:t>
      </w:r>
      <w:r w:rsidRPr="00425C6E">
        <w:rPr>
          <w:rFonts w:ascii="Times New Roman" w:hAnsi="Times New Roman" w:cs="Times New Roman"/>
          <w:sz w:val="24"/>
        </w:rPr>
        <w:t>3 (três) anos, contados após a vigência desta Resolução;</w:t>
      </w:r>
    </w:p>
    <w:p w14:paraId="51134F22" w14:textId="6DCC338F" w:rsidR="00C02EDD" w:rsidRPr="00425C6E" w:rsidRDefault="00C02EDD" w:rsidP="007B1674">
      <w:pPr>
        <w:pStyle w:val="PargrafodaLista"/>
        <w:numPr>
          <w:ilvl w:val="0"/>
          <w:numId w:val="10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Grupo </w:t>
      </w:r>
      <w:r w:rsidR="001C3818" w:rsidRPr="00425C6E">
        <w:rPr>
          <w:rFonts w:ascii="Times New Roman" w:hAnsi="Times New Roman" w:cs="Times New Roman"/>
          <w:sz w:val="24"/>
        </w:rPr>
        <w:t>8</w:t>
      </w:r>
      <w:r w:rsidRPr="00425C6E">
        <w:rPr>
          <w:rFonts w:ascii="Times New Roman" w:hAnsi="Times New Roman" w:cs="Times New Roman"/>
          <w:sz w:val="24"/>
        </w:rPr>
        <w:t>: d</w:t>
      </w:r>
      <w:r w:rsidR="00C3499D" w:rsidRPr="00425C6E">
        <w:rPr>
          <w:rFonts w:ascii="Times New Roman" w:hAnsi="Times New Roman" w:cs="Times New Roman"/>
          <w:sz w:val="24"/>
        </w:rPr>
        <w:t>as iniciativas de transformação digital</w:t>
      </w:r>
      <w:r w:rsidRPr="00425C6E">
        <w:rPr>
          <w:rFonts w:ascii="Times New Roman" w:hAnsi="Times New Roman" w:cs="Times New Roman"/>
          <w:sz w:val="24"/>
        </w:rPr>
        <w:t xml:space="preserve"> </w:t>
      </w:r>
      <w:r w:rsidR="00C3499D" w:rsidRPr="00425C6E">
        <w:rPr>
          <w:rFonts w:ascii="Times New Roman" w:hAnsi="Times New Roman" w:cs="Times New Roman"/>
          <w:sz w:val="24"/>
        </w:rPr>
        <w:t>o</w:t>
      </w:r>
      <w:r w:rsidRPr="00425C6E">
        <w:rPr>
          <w:rFonts w:ascii="Times New Roman" w:hAnsi="Times New Roman" w:cs="Times New Roman"/>
          <w:sz w:val="24"/>
        </w:rPr>
        <w:t xml:space="preserve"> prazo é de até </w:t>
      </w:r>
      <w:r w:rsidR="004E4324" w:rsidRPr="00425C6E">
        <w:rPr>
          <w:rFonts w:ascii="Times New Roman" w:hAnsi="Times New Roman" w:cs="Times New Roman"/>
          <w:sz w:val="24"/>
        </w:rPr>
        <w:t>0</w:t>
      </w:r>
      <w:r w:rsidRPr="00425C6E">
        <w:rPr>
          <w:rFonts w:ascii="Times New Roman" w:hAnsi="Times New Roman" w:cs="Times New Roman"/>
          <w:sz w:val="24"/>
        </w:rPr>
        <w:t>4 (quatro) anos, contados após a vigência desta Resolução.</w:t>
      </w:r>
    </w:p>
    <w:p w14:paraId="6CCFB094" w14:textId="47124EF1" w:rsidR="00C02EDD" w:rsidRPr="00425C6E" w:rsidRDefault="00C02EDD" w:rsidP="007B1674">
      <w:pPr>
        <w:pStyle w:val="Artigopargrafos"/>
        <w:numPr>
          <w:ilvl w:val="0"/>
          <w:numId w:val="14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0F7B98" w:rsidRPr="00425C6E">
        <w:rPr>
          <w:rFonts w:cs="Times New Roman"/>
        </w:rPr>
        <w:t>Conselho Nacional de Justiça (</w:t>
      </w:r>
      <w:r w:rsidR="00781072"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realizará no final do prazo de conclusão de cada grupo de entregáveis do Plano de Trabalho, uma avaliação do cumprimento dos itens constantes desta Resolução.</w:t>
      </w:r>
    </w:p>
    <w:p w14:paraId="76B606D0" w14:textId="1D7DF62F" w:rsidR="00C02EDD" w:rsidRPr="00425C6E" w:rsidRDefault="00C02EDD" w:rsidP="007B1674">
      <w:pPr>
        <w:pStyle w:val="Artigopargrafos"/>
        <w:numPr>
          <w:ilvl w:val="0"/>
          <w:numId w:val="14"/>
        </w:numPr>
        <w:tabs>
          <w:tab w:val="left" w:pos="1701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0F7B98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poderá oferecer apoio aos </w:t>
      </w:r>
      <w:r w:rsidR="00C70AEA" w:rsidRPr="00425C6E">
        <w:rPr>
          <w:rFonts w:cs="Times New Roman"/>
        </w:rPr>
        <w:t>órgãos</w:t>
      </w:r>
      <w:r w:rsidR="00964954" w:rsidRPr="00425C6E">
        <w:rPr>
          <w:rFonts w:cs="Times New Roman"/>
        </w:rPr>
        <w:t xml:space="preserve"> no atendimento </w:t>
      </w:r>
      <w:r w:rsidR="008A35C1" w:rsidRPr="00425C6E">
        <w:rPr>
          <w:rFonts w:cs="Times New Roman"/>
        </w:rPr>
        <w:t>dos objetivos estratégicos propostos por meio da colaboração e compartilhamento de experi</w:t>
      </w:r>
      <w:r w:rsidR="00B712D9" w:rsidRPr="00425C6E">
        <w:rPr>
          <w:rFonts w:cs="Times New Roman"/>
        </w:rPr>
        <w:t>ê</w:t>
      </w:r>
      <w:r w:rsidR="008A35C1" w:rsidRPr="00425C6E">
        <w:rPr>
          <w:rFonts w:cs="Times New Roman"/>
        </w:rPr>
        <w:t>ncias</w:t>
      </w:r>
      <w:r w:rsidR="006B0CAC" w:rsidRPr="00425C6E">
        <w:rPr>
          <w:rFonts w:cs="Times New Roman"/>
        </w:rPr>
        <w:t xml:space="preserve"> a serem difundidos em todo o Poder Judiciário de modo a aprimorar a maturidade em governança, gestão e infraestrutura de TIC</w:t>
      </w:r>
      <w:r w:rsidR="00964954" w:rsidRPr="00425C6E">
        <w:rPr>
          <w:rFonts w:cs="Times New Roman"/>
        </w:rPr>
        <w:t>.</w:t>
      </w:r>
    </w:p>
    <w:p w14:paraId="3388CCB0" w14:textId="3992F6F1" w:rsidR="000A4152" w:rsidRPr="00425C6E" w:rsidRDefault="000A4152" w:rsidP="007B1674">
      <w:pPr>
        <w:pStyle w:val="Artigopargrafos"/>
        <w:numPr>
          <w:ilvl w:val="0"/>
          <w:numId w:val="14"/>
        </w:numPr>
        <w:tabs>
          <w:tab w:val="left" w:pos="1701"/>
        </w:tabs>
        <w:ind w:left="0" w:firstLine="1134"/>
        <w:rPr>
          <w:rFonts w:cs="Times New Roman"/>
        </w:rPr>
      </w:pPr>
      <w:bookmarkStart w:id="9" w:name="_Hlk47103439"/>
      <w:r w:rsidRPr="00425C6E">
        <w:rPr>
          <w:rFonts w:cs="Times New Roman"/>
        </w:rPr>
        <w:t xml:space="preserve">Como instrumento de gestão da </w:t>
      </w:r>
      <w:r w:rsidR="00F237F3" w:rsidRPr="00425C6E">
        <w:rPr>
          <w:rFonts w:cs="Times New Roman"/>
        </w:rPr>
        <w:t xml:space="preserve">Estratégia Nacional de Tecnologia da Informação e Comunicação do Poder Judiciário </w:t>
      </w:r>
      <w:r w:rsidR="000F7B98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0F7B98" w:rsidRPr="00425C6E">
        <w:rPr>
          <w:rFonts w:cs="Times New Roman"/>
        </w:rPr>
        <w:t>)</w:t>
      </w:r>
      <w:r w:rsidR="001C3A5E" w:rsidRPr="00425C6E">
        <w:rPr>
          <w:rFonts w:cs="Times New Roman"/>
        </w:rPr>
        <w:t>,</w:t>
      </w:r>
      <w:r w:rsidRPr="00425C6E">
        <w:rPr>
          <w:rFonts w:cs="Times New Roman"/>
        </w:rPr>
        <w:t xml:space="preserve"> será utilizada a metodologia OKR</w:t>
      </w:r>
      <w:r w:rsidR="00703140" w:rsidRPr="00425C6E">
        <w:rPr>
          <w:rFonts w:cs="Times New Roman"/>
        </w:rPr>
        <w:t xml:space="preserve"> (</w:t>
      </w:r>
      <w:proofErr w:type="spellStart"/>
      <w:r w:rsidR="00703140" w:rsidRPr="00425C6E">
        <w:rPr>
          <w:rFonts w:cs="Times New Roman"/>
          <w:i/>
          <w:iCs/>
        </w:rPr>
        <w:t>Objectives</w:t>
      </w:r>
      <w:proofErr w:type="spellEnd"/>
      <w:r w:rsidR="00703140" w:rsidRPr="00425C6E">
        <w:rPr>
          <w:rFonts w:cs="Times New Roman"/>
          <w:i/>
          <w:iCs/>
        </w:rPr>
        <w:t xml:space="preserve"> </w:t>
      </w:r>
      <w:proofErr w:type="spellStart"/>
      <w:r w:rsidR="00703140" w:rsidRPr="00425C6E">
        <w:rPr>
          <w:rFonts w:cs="Times New Roman"/>
          <w:i/>
          <w:iCs/>
        </w:rPr>
        <w:t>and</w:t>
      </w:r>
      <w:proofErr w:type="spellEnd"/>
      <w:r w:rsidR="00703140" w:rsidRPr="00425C6E">
        <w:rPr>
          <w:rFonts w:cs="Times New Roman"/>
          <w:i/>
          <w:iCs/>
        </w:rPr>
        <w:t xml:space="preserve"> Key </w:t>
      </w:r>
      <w:proofErr w:type="spellStart"/>
      <w:r w:rsidR="00703140" w:rsidRPr="00425C6E">
        <w:rPr>
          <w:rFonts w:cs="Times New Roman"/>
          <w:i/>
          <w:iCs/>
        </w:rPr>
        <w:t>Results</w:t>
      </w:r>
      <w:proofErr w:type="spellEnd"/>
      <w:r w:rsidR="00703140" w:rsidRPr="00425C6E">
        <w:rPr>
          <w:rFonts w:cs="Times New Roman"/>
          <w:i/>
          <w:iCs/>
        </w:rPr>
        <w:t>)</w:t>
      </w:r>
      <w:r w:rsidRPr="00425C6E">
        <w:rPr>
          <w:rFonts w:cs="Times New Roman"/>
        </w:rPr>
        <w:t xml:space="preserve">, que tem por finalidade avaliar os objetivos, resultados chave e metas definidas por cada um dos </w:t>
      </w:r>
      <w:r w:rsidR="001D0790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no seu planejamento de TIC.</w:t>
      </w:r>
    </w:p>
    <w:p w14:paraId="5618516B" w14:textId="77777777" w:rsidR="004009F0" w:rsidRPr="00425C6E" w:rsidRDefault="004009F0" w:rsidP="004009F0">
      <w:pPr>
        <w:pStyle w:val="Artigopargrafos"/>
        <w:numPr>
          <w:ilvl w:val="0"/>
          <w:numId w:val="0"/>
        </w:numPr>
        <w:tabs>
          <w:tab w:val="left" w:pos="1701"/>
        </w:tabs>
        <w:ind w:left="1134"/>
        <w:rPr>
          <w:rFonts w:cs="Times New Roman"/>
        </w:rPr>
      </w:pPr>
    </w:p>
    <w:bookmarkEnd w:id="9"/>
    <w:p w14:paraId="18021C32" w14:textId="7A11DC16" w:rsidR="00C02EDD" w:rsidRPr="00425C6E" w:rsidRDefault="00A87473" w:rsidP="004E255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VII</w:t>
      </w:r>
    </w:p>
    <w:p w14:paraId="24007671" w14:textId="19402BE7" w:rsidR="00C02EDD" w:rsidRPr="00425C6E" w:rsidRDefault="00A87473" w:rsidP="004E255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Do Acompanhamento e Revisões da Estratégia</w:t>
      </w:r>
    </w:p>
    <w:p w14:paraId="297888A1" w14:textId="77777777" w:rsidR="00EB4BE0" w:rsidRPr="00425C6E" w:rsidRDefault="00EB4BE0" w:rsidP="004E2550">
      <w:pPr>
        <w:jc w:val="center"/>
        <w:rPr>
          <w:rFonts w:ascii="Times New Roman" w:hAnsi="Times New Roman" w:cs="Times New Roman"/>
          <w:sz w:val="24"/>
        </w:rPr>
      </w:pPr>
    </w:p>
    <w:p w14:paraId="05A71074" w14:textId="76FB72B1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Comitê Nacional de Gestão de Tecnologia da Informação e Comunicação do Poder Judiciário acompanhará o cumprimento da </w:t>
      </w:r>
      <w:r w:rsidR="00F237F3" w:rsidRPr="00425C6E">
        <w:rPr>
          <w:rFonts w:cs="Times New Roman"/>
        </w:rPr>
        <w:t xml:space="preserve">Estratégia Nacional de Tecnologia da Informação e Comunicação do Poder Judiciário </w:t>
      </w:r>
      <w:r w:rsidR="000F7B98" w:rsidRPr="00425C6E">
        <w:rPr>
          <w:rFonts w:cs="Times New Roman"/>
        </w:rPr>
        <w:t>(</w:t>
      </w:r>
      <w:r w:rsidRPr="00425C6E">
        <w:rPr>
          <w:rFonts w:cs="Times New Roman"/>
        </w:rPr>
        <w:t>ENTIC-JUD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do Poder </w:t>
      </w:r>
      <w:r w:rsidR="008A775D" w:rsidRPr="00425C6E">
        <w:rPr>
          <w:rFonts w:cs="Times New Roman"/>
        </w:rPr>
        <w:t>Judiciário,</w:t>
      </w:r>
      <w:r w:rsidRPr="00425C6E">
        <w:rPr>
          <w:rFonts w:cs="Times New Roman"/>
        </w:rPr>
        <w:t xml:space="preserve"> especialmente no que se refere aos Indicadores Nacionais e Metas de Medição Periódicas e proporá medidas necessárias à melhoria do desempenho, quando necessário.</w:t>
      </w:r>
    </w:p>
    <w:p w14:paraId="2E5A87DB" w14:textId="06E3BEE9" w:rsidR="007617A7" w:rsidRPr="00425C6E" w:rsidRDefault="00242C58" w:rsidP="00E336CC">
      <w:pPr>
        <w:pStyle w:val="Numeraoartigo2"/>
        <w:numPr>
          <w:ilvl w:val="0"/>
          <w:numId w:val="0"/>
        </w:numPr>
        <w:tabs>
          <w:tab w:val="left" w:pos="1985"/>
        </w:tabs>
        <w:ind w:firstLine="1134"/>
        <w:rPr>
          <w:rFonts w:cs="Times New Roman"/>
        </w:rPr>
      </w:pPr>
      <w:r w:rsidRPr="00425C6E">
        <w:rPr>
          <w:rFonts w:cs="Times New Roman"/>
        </w:rPr>
        <w:t xml:space="preserve">Parágrafo único. </w:t>
      </w:r>
      <w:r w:rsidR="00F8268F" w:rsidRPr="00425C6E">
        <w:rPr>
          <w:rFonts w:cs="Times New Roman"/>
        </w:rPr>
        <w:t>O</w:t>
      </w:r>
      <w:r w:rsidR="007617A7" w:rsidRPr="00425C6E">
        <w:rPr>
          <w:rFonts w:cs="Times New Roman"/>
        </w:rPr>
        <w:t xml:space="preserve"> </w:t>
      </w:r>
      <w:r w:rsidR="000F7B98" w:rsidRPr="00425C6E">
        <w:rPr>
          <w:rFonts w:cs="Times New Roman"/>
        </w:rPr>
        <w:t>índice de Governança de Tecnologia da Informação e Comunicação (</w:t>
      </w:r>
      <w:proofErr w:type="spellStart"/>
      <w:r w:rsidR="007617A7" w:rsidRPr="00425C6E">
        <w:rPr>
          <w:rFonts w:cs="Times New Roman"/>
        </w:rPr>
        <w:t>iGovTIC</w:t>
      </w:r>
      <w:proofErr w:type="spellEnd"/>
      <w:r w:rsidR="007617A7" w:rsidRPr="00425C6E">
        <w:rPr>
          <w:rFonts w:cs="Times New Roman"/>
        </w:rPr>
        <w:t>-</w:t>
      </w:r>
      <w:r w:rsidR="00231B47" w:rsidRPr="00425C6E">
        <w:rPr>
          <w:rFonts w:cs="Times New Roman"/>
        </w:rPr>
        <w:t>JUD</w:t>
      </w:r>
      <w:r w:rsidR="000F7B98" w:rsidRPr="00425C6E">
        <w:rPr>
          <w:rFonts w:cs="Times New Roman"/>
        </w:rPr>
        <w:t>)</w:t>
      </w:r>
      <w:r w:rsidR="00231B47" w:rsidRPr="00425C6E">
        <w:rPr>
          <w:rFonts w:cs="Times New Roman"/>
        </w:rPr>
        <w:t xml:space="preserve"> </w:t>
      </w:r>
      <w:r w:rsidR="007617A7" w:rsidRPr="00425C6E">
        <w:rPr>
          <w:rFonts w:cs="Times New Roman"/>
        </w:rPr>
        <w:t xml:space="preserve">será o mecanismo de </w:t>
      </w:r>
      <w:r w:rsidR="00231B47" w:rsidRPr="00425C6E">
        <w:rPr>
          <w:rFonts w:cs="Times New Roman"/>
        </w:rPr>
        <w:t>acompanhamento</w:t>
      </w:r>
      <w:r w:rsidR="007617A7" w:rsidRPr="00425C6E">
        <w:rPr>
          <w:rFonts w:cs="Times New Roman"/>
        </w:rPr>
        <w:t xml:space="preserve"> da </w:t>
      </w:r>
      <w:r w:rsidR="00F237F3" w:rsidRPr="00425C6E">
        <w:rPr>
          <w:rFonts w:cs="Times New Roman"/>
        </w:rPr>
        <w:t>Estratégia Nacional de Tecnologia da Informação e Comunicação do Poder Judiciário (</w:t>
      </w:r>
      <w:r w:rsidR="007617A7" w:rsidRPr="00425C6E">
        <w:rPr>
          <w:rFonts w:cs="Times New Roman"/>
        </w:rPr>
        <w:t>ENTIC-JUD</w:t>
      </w:r>
      <w:r w:rsidR="00F237F3" w:rsidRPr="00425C6E">
        <w:rPr>
          <w:rFonts w:cs="Times New Roman"/>
        </w:rPr>
        <w:t>)</w:t>
      </w:r>
      <w:r w:rsidR="007617A7" w:rsidRPr="00425C6E">
        <w:rPr>
          <w:rFonts w:cs="Times New Roman"/>
        </w:rPr>
        <w:t xml:space="preserve"> com periodicidade de avaliação anual</w:t>
      </w:r>
      <w:r w:rsidR="00231B47" w:rsidRPr="00425C6E">
        <w:rPr>
          <w:rFonts w:cs="Times New Roman"/>
        </w:rPr>
        <w:t>.</w:t>
      </w:r>
    </w:p>
    <w:p w14:paraId="0E735655" w14:textId="00896BAB" w:rsidR="003B5938" w:rsidRPr="00425C6E" w:rsidRDefault="004D65B1" w:rsidP="006C189F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Caberá aos órgãos encaminhar, dentro dos prazos requeridos, os planos que constituem os </w:t>
      </w:r>
      <w:r w:rsidR="003232CC" w:rsidRPr="00425C6E">
        <w:rPr>
          <w:rFonts w:cs="Times New Roman"/>
        </w:rPr>
        <w:t>p</w:t>
      </w:r>
      <w:r w:rsidRPr="00425C6E">
        <w:rPr>
          <w:rFonts w:cs="Times New Roman"/>
        </w:rPr>
        <w:t xml:space="preserve">rodutos de Gestão do Judiciário previstos nesta </w:t>
      </w:r>
      <w:r w:rsidR="005949EE" w:rsidRPr="00425C6E">
        <w:rPr>
          <w:rFonts w:cs="Times New Roman"/>
        </w:rPr>
        <w:t>Resolução</w:t>
      </w:r>
      <w:r w:rsidRPr="00425C6E">
        <w:rPr>
          <w:rFonts w:cs="Times New Roman"/>
        </w:rPr>
        <w:t>,</w:t>
      </w:r>
      <w:r w:rsidR="003232CC" w:rsidRPr="00425C6E">
        <w:rPr>
          <w:rFonts w:cs="Times New Roman"/>
        </w:rPr>
        <w:t xml:space="preserve"> de forma periódica,</w:t>
      </w:r>
      <w:r w:rsidRPr="00425C6E">
        <w:rPr>
          <w:rFonts w:cs="Times New Roman"/>
        </w:rPr>
        <w:t xml:space="preserve"> </w:t>
      </w:r>
      <w:r w:rsidR="003232CC" w:rsidRPr="00425C6E">
        <w:rPr>
          <w:rFonts w:cs="Times New Roman"/>
        </w:rPr>
        <w:t>conforme</w:t>
      </w:r>
      <w:r w:rsidRPr="00425C6E">
        <w:rPr>
          <w:rFonts w:cs="Times New Roman"/>
        </w:rPr>
        <w:t xml:space="preserve"> formatos</w:t>
      </w:r>
      <w:r w:rsidR="003232CC" w:rsidRPr="00425C6E">
        <w:rPr>
          <w:rFonts w:cs="Times New Roman"/>
        </w:rPr>
        <w:t xml:space="preserve"> padronizados no </w:t>
      </w:r>
      <w:r w:rsidRPr="00425C6E">
        <w:rPr>
          <w:rFonts w:cs="Times New Roman"/>
        </w:rPr>
        <w:t xml:space="preserve">repositório </w:t>
      </w:r>
      <w:r w:rsidR="003232CC" w:rsidRPr="00425C6E">
        <w:rPr>
          <w:rFonts w:cs="Times New Roman"/>
        </w:rPr>
        <w:t xml:space="preserve">nacional </w:t>
      </w:r>
      <w:r w:rsidRPr="00425C6E">
        <w:rPr>
          <w:rFonts w:cs="Times New Roman"/>
        </w:rPr>
        <w:t xml:space="preserve">definido </w:t>
      </w:r>
      <w:r w:rsidR="003232CC" w:rsidRPr="00425C6E">
        <w:rPr>
          <w:rFonts w:cs="Times New Roman"/>
        </w:rPr>
        <w:t>pelo</w:t>
      </w:r>
      <w:r w:rsidRPr="00425C6E">
        <w:rPr>
          <w:rFonts w:cs="Times New Roman"/>
        </w:rPr>
        <w:t xml:space="preserve"> </w:t>
      </w:r>
      <w:r w:rsidR="00F237F3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F237F3" w:rsidRPr="00425C6E">
        <w:rPr>
          <w:rFonts w:cs="Times New Roman"/>
        </w:rPr>
        <w:t>)</w:t>
      </w:r>
      <w:r w:rsidR="003232CC" w:rsidRPr="00425C6E">
        <w:rPr>
          <w:rFonts w:cs="Times New Roman"/>
        </w:rPr>
        <w:t>.</w:t>
      </w:r>
    </w:p>
    <w:p w14:paraId="1AA02766" w14:textId="660EAF6D" w:rsidR="00F20C2C" w:rsidRPr="00425C6E" w:rsidRDefault="00AD1555" w:rsidP="00943CB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>Parágrafo único.</w:t>
      </w:r>
      <w:r w:rsidRPr="00425C6E">
        <w:rPr>
          <w:rFonts w:ascii="Times New Roman" w:hAnsi="Times New Roman" w:cs="Times New Roman"/>
        </w:rPr>
        <w:t xml:space="preserve"> </w:t>
      </w:r>
      <w:r w:rsidR="00F20C2C" w:rsidRPr="00425C6E">
        <w:rPr>
          <w:rFonts w:ascii="Times New Roman" w:hAnsi="Times New Roman" w:cs="Times New Roman"/>
          <w:sz w:val="24"/>
        </w:rPr>
        <w:t xml:space="preserve">Os órgãos do Poder Judiciário deverão atender </w:t>
      </w:r>
      <w:r w:rsidR="00943CBC" w:rsidRPr="00425C6E">
        <w:rPr>
          <w:rFonts w:ascii="Times New Roman" w:hAnsi="Times New Roman" w:cs="Times New Roman"/>
          <w:sz w:val="24"/>
        </w:rPr>
        <w:t>o</w:t>
      </w:r>
      <w:r w:rsidR="00F20C2C" w:rsidRPr="00425C6E">
        <w:rPr>
          <w:rFonts w:ascii="Times New Roman" w:hAnsi="Times New Roman" w:cs="Times New Roman"/>
          <w:sz w:val="24"/>
        </w:rPr>
        <w:t xml:space="preserve">s requisitos do formato de transmissão de dados </w:t>
      </w:r>
      <w:r w:rsidR="00943CBC" w:rsidRPr="00425C6E">
        <w:rPr>
          <w:rFonts w:ascii="Times New Roman" w:hAnsi="Times New Roman" w:cs="Times New Roman"/>
          <w:sz w:val="24"/>
        </w:rPr>
        <w:t xml:space="preserve">preconizados pelo </w:t>
      </w:r>
      <w:r w:rsidR="000F7B98" w:rsidRPr="00425C6E">
        <w:rPr>
          <w:rFonts w:ascii="Times New Roman" w:hAnsi="Times New Roman" w:cs="Times New Roman"/>
          <w:sz w:val="24"/>
        </w:rPr>
        <w:t>Conselho Nacional de Justiça (</w:t>
      </w:r>
      <w:r w:rsidR="00943CBC" w:rsidRPr="00425C6E">
        <w:rPr>
          <w:rFonts w:ascii="Times New Roman" w:hAnsi="Times New Roman" w:cs="Times New Roman"/>
          <w:sz w:val="24"/>
        </w:rPr>
        <w:t>CNJ</w:t>
      </w:r>
      <w:r w:rsidR="000F7B98" w:rsidRPr="00425C6E">
        <w:rPr>
          <w:rFonts w:ascii="Times New Roman" w:hAnsi="Times New Roman" w:cs="Times New Roman"/>
          <w:sz w:val="24"/>
        </w:rPr>
        <w:t>)</w:t>
      </w:r>
      <w:r w:rsidR="00943CBC" w:rsidRPr="00425C6E">
        <w:rPr>
          <w:rFonts w:ascii="Times New Roman" w:hAnsi="Times New Roman" w:cs="Times New Roman"/>
          <w:sz w:val="24"/>
        </w:rPr>
        <w:t>.</w:t>
      </w:r>
    </w:p>
    <w:p w14:paraId="22C434BA" w14:textId="5B4126EC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0F7B98" w:rsidRPr="00425C6E">
        <w:rPr>
          <w:rFonts w:cs="Times New Roman"/>
        </w:rPr>
        <w:t>Conselho Na</w:t>
      </w:r>
      <w:r w:rsidR="00F237F3" w:rsidRPr="00425C6E">
        <w:rPr>
          <w:rFonts w:cs="Times New Roman"/>
        </w:rPr>
        <w:t xml:space="preserve">cional de </w:t>
      </w:r>
      <w:r w:rsidR="000F7B98" w:rsidRPr="00425C6E">
        <w:rPr>
          <w:rFonts w:cs="Times New Roman"/>
        </w:rPr>
        <w:t>Justiça (</w:t>
      </w:r>
      <w:r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realizará anualmente </w:t>
      </w:r>
      <w:r w:rsidR="007B08C9" w:rsidRPr="00425C6E">
        <w:rPr>
          <w:rFonts w:cs="Times New Roman"/>
        </w:rPr>
        <w:t>avaliações</w:t>
      </w:r>
      <w:r w:rsidR="00C434B2" w:rsidRPr="00425C6E">
        <w:rPr>
          <w:rFonts w:cs="Times New Roman"/>
        </w:rPr>
        <w:t xml:space="preserve"> e diagnósticos</w:t>
      </w:r>
      <w:r w:rsidRPr="00425C6E">
        <w:rPr>
          <w:rFonts w:cs="Times New Roman"/>
        </w:rPr>
        <w:t xml:space="preserve"> para aferir o nível de cumprimento das </w:t>
      </w:r>
      <w:r w:rsidR="009A2594" w:rsidRPr="00425C6E">
        <w:rPr>
          <w:rFonts w:cs="Times New Roman"/>
        </w:rPr>
        <w:t>d</w:t>
      </w:r>
      <w:r w:rsidRPr="00425C6E">
        <w:rPr>
          <w:rFonts w:cs="Times New Roman"/>
        </w:rPr>
        <w:t xml:space="preserve">iretrizes </w:t>
      </w:r>
      <w:r w:rsidR="009A2594" w:rsidRPr="00425C6E">
        <w:rPr>
          <w:rFonts w:cs="Times New Roman"/>
        </w:rPr>
        <w:t>e</w:t>
      </w:r>
      <w:r w:rsidRPr="00425C6E">
        <w:rPr>
          <w:rFonts w:cs="Times New Roman"/>
        </w:rPr>
        <w:t xml:space="preserve">stratégicas de </w:t>
      </w:r>
      <w:r w:rsidR="009A2594" w:rsidRPr="00425C6E">
        <w:rPr>
          <w:rFonts w:cs="Times New Roman"/>
        </w:rPr>
        <w:t>n</w:t>
      </w:r>
      <w:r w:rsidRPr="00425C6E">
        <w:rPr>
          <w:rFonts w:cs="Times New Roman"/>
        </w:rPr>
        <w:t xml:space="preserve">ivelamento constantes desta Resolução, bem como em outras Resoluções, recomendações e políticas estabelecidas para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do Poder Judiciário.</w:t>
      </w:r>
    </w:p>
    <w:p w14:paraId="5FD0471F" w14:textId="35AAE05C" w:rsidR="00850E86" w:rsidRPr="00425C6E" w:rsidRDefault="00C02EDD" w:rsidP="00F6763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425C6E">
        <w:rPr>
          <w:rFonts w:ascii="Times New Roman" w:hAnsi="Times New Roman" w:cs="Times New Roman"/>
          <w:sz w:val="24"/>
        </w:rPr>
        <w:t xml:space="preserve">Parágrafo único. </w:t>
      </w:r>
      <w:r w:rsidR="000953F5" w:rsidRPr="00425C6E">
        <w:rPr>
          <w:rFonts w:ascii="Times New Roman" w:hAnsi="Times New Roman" w:cs="Times New Roman"/>
          <w:sz w:val="24"/>
        </w:rPr>
        <w:t xml:space="preserve">Os diagnósticos descritos no caput deste artigo serão realizados a partir de </w:t>
      </w:r>
      <w:r w:rsidR="007C0834" w:rsidRPr="00425C6E">
        <w:rPr>
          <w:rFonts w:ascii="Times New Roman" w:hAnsi="Times New Roman" w:cs="Times New Roman"/>
          <w:sz w:val="24"/>
        </w:rPr>
        <w:t>levantamento de maturidade</w:t>
      </w:r>
      <w:r w:rsidR="000953F5" w:rsidRPr="00425C6E">
        <w:rPr>
          <w:rFonts w:ascii="Times New Roman" w:hAnsi="Times New Roman" w:cs="Times New Roman"/>
          <w:sz w:val="24"/>
        </w:rPr>
        <w:t xml:space="preserve"> de TIC e mecanismo de acompanhamento, </w:t>
      </w:r>
      <w:r w:rsidR="000F7B98" w:rsidRPr="00425C6E">
        <w:rPr>
          <w:rFonts w:ascii="Times New Roman" w:hAnsi="Times New Roman" w:cs="Times New Roman"/>
          <w:sz w:val="24"/>
        </w:rPr>
        <w:t>índice de Governança de Tecnologia da Informação e Comunicação (</w:t>
      </w:r>
      <w:proofErr w:type="spellStart"/>
      <w:r w:rsidR="000953F5" w:rsidRPr="00425C6E">
        <w:rPr>
          <w:rFonts w:ascii="Times New Roman" w:hAnsi="Times New Roman" w:cs="Times New Roman"/>
          <w:sz w:val="24"/>
        </w:rPr>
        <w:t>iGovTIC</w:t>
      </w:r>
      <w:proofErr w:type="spellEnd"/>
      <w:r w:rsidR="000953F5" w:rsidRPr="00425C6E">
        <w:rPr>
          <w:rFonts w:ascii="Times New Roman" w:hAnsi="Times New Roman" w:cs="Times New Roman"/>
          <w:sz w:val="24"/>
        </w:rPr>
        <w:t>-JUD</w:t>
      </w:r>
      <w:r w:rsidR="000F7B98" w:rsidRPr="00425C6E">
        <w:rPr>
          <w:rFonts w:ascii="Times New Roman" w:hAnsi="Times New Roman" w:cs="Times New Roman"/>
          <w:sz w:val="24"/>
        </w:rPr>
        <w:t>)</w:t>
      </w:r>
      <w:r w:rsidR="000953F5" w:rsidRPr="00425C6E">
        <w:rPr>
          <w:rFonts w:ascii="Times New Roman" w:hAnsi="Times New Roman" w:cs="Times New Roman"/>
          <w:sz w:val="24"/>
        </w:rPr>
        <w:t xml:space="preserve">, que permitam </w:t>
      </w:r>
      <w:r w:rsidR="007C0834" w:rsidRPr="00425C6E">
        <w:rPr>
          <w:rFonts w:ascii="Times New Roman" w:hAnsi="Times New Roman" w:cs="Times New Roman"/>
          <w:sz w:val="24"/>
        </w:rPr>
        <w:t>aferir e avaliar a</w:t>
      </w:r>
      <w:r w:rsidR="000953F5" w:rsidRPr="00425C6E">
        <w:rPr>
          <w:rFonts w:ascii="Times New Roman" w:hAnsi="Times New Roman" w:cs="Times New Roman"/>
          <w:sz w:val="24"/>
        </w:rPr>
        <w:t xml:space="preserve"> evolução</w:t>
      </w:r>
      <w:r w:rsidR="00D64B26" w:rsidRPr="00425C6E">
        <w:rPr>
          <w:rFonts w:ascii="Times New Roman" w:hAnsi="Times New Roman" w:cs="Times New Roman"/>
          <w:sz w:val="24"/>
        </w:rPr>
        <w:t xml:space="preserve"> da maturidade</w:t>
      </w:r>
      <w:r w:rsidR="000953F5" w:rsidRPr="00425C6E">
        <w:rPr>
          <w:rFonts w:ascii="Times New Roman" w:hAnsi="Times New Roman" w:cs="Times New Roman"/>
          <w:sz w:val="24"/>
        </w:rPr>
        <w:t xml:space="preserve"> dos órgãos do Poder Judiciário. Poderão ser solicitadas evidências comprobatórias dos elementos apresentados nos </w:t>
      </w:r>
      <w:r w:rsidR="00D64B26" w:rsidRPr="00425C6E">
        <w:rPr>
          <w:rFonts w:ascii="Times New Roman" w:hAnsi="Times New Roman" w:cs="Times New Roman"/>
          <w:sz w:val="24"/>
        </w:rPr>
        <w:t>levantamentos</w:t>
      </w:r>
      <w:r w:rsidR="000953F5" w:rsidRPr="00425C6E">
        <w:rPr>
          <w:rFonts w:ascii="Times New Roman" w:hAnsi="Times New Roman" w:cs="Times New Roman"/>
          <w:sz w:val="24"/>
        </w:rPr>
        <w:t xml:space="preserve"> e demais insumos de resultantes do diagnóstico.</w:t>
      </w:r>
    </w:p>
    <w:p w14:paraId="75FFA020" w14:textId="704C85AF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O </w:t>
      </w:r>
      <w:r w:rsidR="000F7B98" w:rsidRPr="00425C6E">
        <w:rPr>
          <w:rFonts w:cs="Times New Roman"/>
        </w:rPr>
        <w:t>Conselho Nacional de Justiça (</w:t>
      </w:r>
      <w:r w:rsidRPr="00425C6E">
        <w:rPr>
          <w:rFonts w:cs="Times New Roman"/>
        </w:rPr>
        <w:t>CNJ</w:t>
      </w:r>
      <w:r w:rsidR="000F7B98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divulgará em seu sítio eletrônico</w:t>
      </w:r>
      <w:r w:rsidR="0000420D" w:rsidRPr="00425C6E">
        <w:rPr>
          <w:rFonts w:cs="Times New Roman"/>
        </w:rPr>
        <w:t xml:space="preserve"> e </w:t>
      </w:r>
      <w:r w:rsidR="00A0104D" w:rsidRPr="00425C6E">
        <w:rPr>
          <w:rFonts w:cs="Times New Roman"/>
        </w:rPr>
        <w:t>n</w:t>
      </w:r>
      <w:r w:rsidR="00BB37B9" w:rsidRPr="00425C6E">
        <w:rPr>
          <w:rFonts w:cs="Times New Roman"/>
        </w:rPr>
        <w:t xml:space="preserve">o repositório nacional </w:t>
      </w:r>
      <w:r w:rsidRPr="00425C6E">
        <w:rPr>
          <w:rFonts w:cs="Times New Roman"/>
        </w:rPr>
        <w:t xml:space="preserve">o resultado dos diagnósticos com objetivo de promover a transparência, a integração e o compartilhamento de informações entre os </w:t>
      </w:r>
      <w:r w:rsidR="00C70AEA" w:rsidRPr="00425C6E">
        <w:rPr>
          <w:rFonts w:cs="Times New Roman"/>
        </w:rPr>
        <w:t>órgãos</w:t>
      </w:r>
      <w:r w:rsidRPr="00425C6E">
        <w:rPr>
          <w:rFonts w:cs="Times New Roman"/>
        </w:rPr>
        <w:t xml:space="preserve"> e as áreas de TIC do Poder Judiciário.</w:t>
      </w:r>
    </w:p>
    <w:p w14:paraId="6AAEE12F" w14:textId="7F31D697" w:rsidR="00C02EDD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A revisão da </w:t>
      </w:r>
      <w:r w:rsidR="00811EC7" w:rsidRPr="00425C6E">
        <w:rPr>
          <w:rFonts w:cs="Times New Roman"/>
        </w:rPr>
        <w:t>Estratégia Nacional de Tecnologia da Informação e Comunicação do Poder Judiciário (</w:t>
      </w:r>
      <w:r w:rsidRPr="00425C6E">
        <w:rPr>
          <w:rFonts w:cs="Times New Roman"/>
        </w:rPr>
        <w:t>ENTIC-JUD</w:t>
      </w:r>
      <w:r w:rsidR="00811EC7" w:rsidRPr="00425C6E">
        <w:rPr>
          <w:rFonts w:cs="Times New Roman"/>
        </w:rPr>
        <w:t>)</w:t>
      </w:r>
      <w:r w:rsidRPr="00425C6E">
        <w:rPr>
          <w:rFonts w:cs="Times New Roman"/>
        </w:rPr>
        <w:t xml:space="preserve"> será realizada a cada biênio ou quando </w:t>
      </w:r>
      <w:r w:rsidR="00F979CD" w:rsidRPr="00425C6E">
        <w:rPr>
          <w:rFonts w:cs="Times New Roman"/>
        </w:rPr>
        <w:t xml:space="preserve">se fizer </w:t>
      </w:r>
      <w:r w:rsidRPr="00425C6E">
        <w:rPr>
          <w:rFonts w:cs="Times New Roman"/>
        </w:rPr>
        <w:t>necessário.</w:t>
      </w:r>
    </w:p>
    <w:p w14:paraId="2F28A403" w14:textId="77777777" w:rsidR="008E4203" w:rsidRPr="00425C6E" w:rsidRDefault="008E4203" w:rsidP="0052479E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</w:p>
    <w:p w14:paraId="7D8363D6" w14:textId="4CE59CA9" w:rsidR="00C02EDD" w:rsidRPr="00425C6E" w:rsidRDefault="00A87473" w:rsidP="004E2550">
      <w:pPr>
        <w:spacing w:before="120"/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 xml:space="preserve">Capítulo </w:t>
      </w:r>
      <w:r w:rsidR="00C02EDD" w:rsidRPr="00425C6E">
        <w:rPr>
          <w:rFonts w:ascii="Times New Roman" w:hAnsi="Times New Roman" w:cs="Times New Roman"/>
          <w:b/>
          <w:bCs/>
          <w:sz w:val="24"/>
        </w:rPr>
        <w:t>VIII</w:t>
      </w:r>
    </w:p>
    <w:p w14:paraId="3499FC95" w14:textId="6B2403D2" w:rsidR="00C02EDD" w:rsidRPr="00425C6E" w:rsidRDefault="00A87473" w:rsidP="004E255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25C6E">
        <w:rPr>
          <w:rFonts w:ascii="Times New Roman" w:hAnsi="Times New Roman" w:cs="Times New Roman"/>
          <w:b/>
          <w:bCs/>
          <w:sz w:val="24"/>
        </w:rPr>
        <w:t>Das Disposições Finais</w:t>
      </w:r>
    </w:p>
    <w:p w14:paraId="4B55FEBB" w14:textId="77777777" w:rsidR="00893544" w:rsidRPr="00425C6E" w:rsidRDefault="00893544" w:rsidP="004E255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E91BCAA" w14:textId="13D4B99C" w:rsidR="00C02EDD" w:rsidRPr="00425C6E" w:rsidRDefault="00C02EDD" w:rsidP="00017A6D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>Outros instrumentos complementares a estas diretrizes</w:t>
      </w:r>
      <w:r w:rsidR="008A775D" w:rsidRPr="00425C6E">
        <w:rPr>
          <w:rFonts w:cs="Times New Roman"/>
        </w:rPr>
        <w:t xml:space="preserve"> </w:t>
      </w:r>
      <w:r w:rsidRPr="00425C6E">
        <w:rPr>
          <w:rFonts w:cs="Times New Roman"/>
        </w:rPr>
        <w:t xml:space="preserve">poderão ser elaborados e formalizados em normativos específicos do </w:t>
      </w:r>
      <w:r w:rsidR="00C70AEA" w:rsidRPr="00425C6E">
        <w:rPr>
          <w:rFonts w:cs="Times New Roman"/>
        </w:rPr>
        <w:t>órgão</w:t>
      </w:r>
      <w:r w:rsidRPr="00425C6E">
        <w:rPr>
          <w:rFonts w:cs="Times New Roman"/>
        </w:rPr>
        <w:t xml:space="preserve"> desde que não contrariem as disposições estabelecidas nesta Resolução.</w:t>
      </w:r>
    </w:p>
    <w:p w14:paraId="13DCCACB" w14:textId="25239D50" w:rsidR="00C02EDD" w:rsidRPr="00425C6E" w:rsidRDefault="00FC4984" w:rsidP="00FC4984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Fica revogada a Resolução </w:t>
      </w:r>
      <w:r w:rsidR="00800009" w:rsidRPr="00425C6E">
        <w:rPr>
          <w:rFonts w:cs="Times New Roman"/>
        </w:rPr>
        <w:t xml:space="preserve">CNJ </w:t>
      </w:r>
      <w:r w:rsidR="00EB76E7" w:rsidRPr="00425C6E">
        <w:rPr>
          <w:rFonts w:cs="Times New Roman"/>
        </w:rPr>
        <w:t>n</w:t>
      </w:r>
      <w:r w:rsidRPr="00425C6E">
        <w:rPr>
          <w:rFonts w:cs="Times New Roman"/>
        </w:rPr>
        <w:t xml:space="preserve">° </w:t>
      </w:r>
      <w:r w:rsidR="00800009" w:rsidRPr="00425C6E">
        <w:rPr>
          <w:rFonts w:cs="Times New Roman"/>
        </w:rPr>
        <w:t>211 de 15 de dezembro de 2015</w:t>
      </w:r>
      <w:r w:rsidR="003D096F" w:rsidRPr="00425C6E">
        <w:rPr>
          <w:rFonts w:cs="Times New Roman"/>
        </w:rPr>
        <w:t>.</w:t>
      </w:r>
    </w:p>
    <w:p w14:paraId="132D380B" w14:textId="1E83000C" w:rsidR="00361C2A" w:rsidRPr="00425C6E" w:rsidRDefault="00C02EDD" w:rsidP="007F16F7">
      <w:pPr>
        <w:pStyle w:val="Numeraoartigo2"/>
        <w:tabs>
          <w:tab w:val="left" w:pos="1985"/>
        </w:tabs>
        <w:ind w:left="0" w:firstLine="1134"/>
        <w:rPr>
          <w:rFonts w:cs="Times New Roman"/>
        </w:rPr>
      </w:pPr>
      <w:r w:rsidRPr="00425C6E">
        <w:rPr>
          <w:rFonts w:cs="Times New Roman"/>
        </w:rPr>
        <w:t xml:space="preserve">Esta Resolução entra em vigor em 1º de janeiro de </w:t>
      </w:r>
      <w:r w:rsidR="00800009" w:rsidRPr="00425C6E">
        <w:rPr>
          <w:rFonts w:cs="Times New Roman"/>
        </w:rPr>
        <w:t>2021</w:t>
      </w:r>
      <w:r w:rsidRPr="00425C6E">
        <w:rPr>
          <w:rFonts w:cs="Times New Roman"/>
        </w:rPr>
        <w:t>.</w:t>
      </w:r>
    </w:p>
    <w:p w14:paraId="7049DDCD" w14:textId="5CCEEA12" w:rsidR="00B61531" w:rsidRPr="00425C6E" w:rsidRDefault="00B61531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8F6A443" w14:textId="52C5B651" w:rsidR="00B61531" w:rsidRPr="00425C6E" w:rsidRDefault="00B61531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2E2F9DE" w14:textId="0EF8EFD5" w:rsidR="005A04C3" w:rsidRPr="00425C6E" w:rsidRDefault="005A04C3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F15778C" w14:textId="77777777" w:rsidR="006E0BA8" w:rsidRPr="00425C6E" w:rsidRDefault="006E0BA8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F00D1E1" w14:textId="77777777" w:rsidR="00361C2A" w:rsidRPr="00425C6E" w:rsidRDefault="00361C2A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EE5C474" w14:textId="7F0B8DE5" w:rsidR="009052C4" w:rsidRPr="00425C6E" w:rsidRDefault="00F84400" w:rsidP="009052C4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bCs/>
          <w:sz w:val="24"/>
          <w:szCs w:val="24"/>
        </w:rPr>
        <w:t>Ministro</w:t>
      </w:r>
      <w:r w:rsidRPr="00425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672" w:rsidRPr="00425C6E">
        <w:rPr>
          <w:rFonts w:ascii="Times New Roman" w:hAnsi="Times New Roman" w:cs="Times New Roman"/>
          <w:b/>
          <w:sz w:val="24"/>
          <w:szCs w:val="24"/>
        </w:rPr>
        <w:t>LUIZ FUX</w:t>
      </w:r>
    </w:p>
    <w:p w14:paraId="40A4B259" w14:textId="3653C910" w:rsidR="00EB6BB0" w:rsidRPr="00283A9D" w:rsidRDefault="00F41672" w:rsidP="009F55AE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</w:rPr>
      </w:pPr>
      <w:r w:rsidRPr="00425C6E">
        <w:rPr>
          <w:rFonts w:ascii="Times New Roman" w:hAnsi="Times New Roman" w:cs="Times New Roman"/>
          <w:sz w:val="24"/>
          <w:szCs w:val="24"/>
        </w:rPr>
        <w:t>Presidente</w:t>
      </w:r>
    </w:p>
    <w:sectPr w:rsidR="00EB6BB0" w:rsidRPr="00283A9D" w:rsidSect="00EB6BB0">
      <w:headerReference w:type="default" r:id="rId11"/>
      <w:footerReference w:type="default" r:id="rId12"/>
      <w:pgSz w:w="11856" w:h="16740"/>
      <w:pgMar w:top="1701" w:right="1134" w:bottom="1134" w:left="1418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FCC9" w14:textId="77777777" w:rsidR="00FB288F" w:rsidRDefault="00FB288F">
      <w:r>
        <w:separator/>
      </w:r>
    </w:p>
  </w:endnote>
  <w:endnote w:type="continuationSeparator" w:id="0">
    <w:p w14:paraId="371C294F" w14:textId="77777777" w:rsidR="00FB288F" w:rsidRDefault="00F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1"/>
      <w:gridCol w:w="3101"/>
      <w:gridCol w:w="3101"/>
    </w:tblGrid>
    <w:tr w:rsidR="00467E03" w14:paraId="307C6FAE" w14:textId="77777777" w:rsidTr="00703140">
      <w:tc>
        <w:tcPr>
          <w:tcW w:w="3101" w:type="dxa"/>
        </w:tcPr>
        <w:p w14:paraId="05CD0455" w14:textId="255C8322" w:rsidR="00467E03" w:rsidRDefault="00467E03" w:rsidP="00703140">
          <w:pPr>
            <w:pStyle w:val="Cabealho"/>
            <w:ind w:left="-115"/>
          </w:pPr>
        </w:p>
      </w:tc>
      <w:tc>
        <w:tcPr>
          <w:tcW w:w="3101" w:type="dxa"/>
        </w:tcPr>
        <w:p w14:paraId="247EE751" w14:textId="19A7AC29" w:rsidR="00467E03" w:rsidRDefault="00467E03" w:rsidP="00703140">
          <w:pPr>
            <w:pStyle w:val="Cabealho"/>
            <w:jc w:val="center"/>
          </w:pPr>
        </w:p>
      </w:tc>
      <w:tc>
        <w:tcPr>
          <w:tcW w:w="3101" w:type="dxa"/>
        </w:tcPr>
        <w:p w14:paraId="651B9FC3" w14:textId="4A04C366" w:rsidR="00467E03" w:rsidRDefault="00467E03" w:rsidP="00703140">
          <w:pPr>
            <w:pStyle w:val="Cabealho"/>
            <w:ind w:right="-115"/>
            <w:jc w:val="right"/>
          </w:pPr>
        </w:p>
      </w:tc>
    </w:tr>
  </w:tbl>
  <w:p w14:paraId="1A78D63E" w14:textId="1CD29491" w:rsidR="00467E03" w:rsidRDefault="00467E03" w:rsidP="00215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BAF86" w14:textId="77777777" w:rsidR="00FB288F" w:rsidRDefault="00FB288F">
      <w:r>
        <w:separator/>
      </w:r>
    </w:p>
  </w:footnote>
  <w:footnote w:type="continuationSeparator" w:id="0">
    <w:p w14:paraId="1867919C" w14:textId="77777777" w:rsidR="00FB288F" w:rsidRDefault="00FB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9C84" w14:textId="5BF43B8B" w:rsidR="009F55AE" w:rsidRPr="00C02EDD" w:rsidRDefault="00CE475B" w:rsidP="003865D2">
    <w:pPr>
      <w:jc w:val="center"/>
    </w:pPr>
    <w:r>
      <w:rPr>
        <w:noProof/>
        <w:position w:val="-20"/>
        <w:sz w:val="40"/>
        <w:lang w:eastAsia="pt-BR"/>
      </w:rPr>
      <w:drawing>
        <wp:inline distT="0" distB="0" distL="0" distR="0" wp14:anchorId="439D2E0B" wp14:editId="7FFC4112">
          <wp:extent cx="895350" cy="8382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4D554" w14:textId="77777777" w:rsidR="00E750A0" w:rsidRPr="00396CC1" w:rsidRDefault="00E750A0" w:rsidP="00E750A0">
    <w:pPr>
      <w:jc w:val="center"/>
      <w:rPr>
        <w:rFonts w:ascii="Arial" w:hAnsi="Arial" w:cs="Arial"/>
        <w:position w:val="-20"/>
        <w:sz w:val="18"/>
        <w:szCs w:val="18"/>
      </w:rPr>
    </w:pPr>
    <w:r w:rsidRPr="003865D2">
      <w:rPr>
        <w:rFonts w:ascii="Arial" w:hAnsi="Arial" w:cs="Arial"/>
        <w:position w:val="-20"/>
        <w:sz w:val="18"/>
        <w:szCs w:val="18"/>
      </w:rPr>
      <w:t>Poder</w:t>
    </w:r>
    <w:r w:rsidRPr="00396CC1">
      <w:rPr>
        <w:rFonts w:ascii="Arial" w:hAnsi="Arial" w:cs="Arial"/>
        <w:position w:val="-20"/>
        <w:sz w:val="18"/>
        <w:szCs w:val="18"/>
      </w:rPr>
      <w:t xml:space="preserve"> Judiciário</w:t>
    </w:r>
  </w:p>
  <w:p w14:paraId="31219DB1" w14:textId="77777777" w:rsidR="009F55AE" w:rsidRPr="00B55437" w:rsidRDefault="009F55AE" w:rsidP="00B55437">
    <w:pPr>
      <w:widowControl/>
      <w:spacing w:line="259" w:lineRule="auto"/>
      <w:jc w:val="center"/>
      <w:rPr>
        <w:rFonts w:ascii="Kunstler Script" w:hAnsi="Kunstler Script"/>
        <w:b/>
        <w:position w:val="-20"/>
        <w:sz w:val="56"/>
        <w:szCs w:val="56"/>
      </w:rPr>
    </w:pPr>
    <w:r w:rsidRPr="00B55437">
      <w:rPr>
        <w:rFonts w:ascii="Kunstler Script" w:hAnsi="Kunstler Script"/>
        <w:b/>
        <w:position w:val="-20"/>
        <w:sz w:val="56"/>
        <w:szCs w:val="56"/>
      </w:rPr>
      <w:t>Conselho Nacional de Justiça</w:t>
    </w:r>
  </w:p>
  <w:p w14:paraId="6CE5BBCF" w14:textId="77777777" w:rsidR="009F55AE" w:rsidRPr="009F55AE" w:rsidRDefault="009F55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13B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2180534"/>
    <w:multiLevelType w:val="hybridMultilevel"/>
    <w:tmpl w:val="7BD89C76"/>
    <w:lvl w:ilvl="0" w:tplc="EE7EDB4C">
      <w:start w:val="1"/>
      <w:numFmt w:val="ordinal"/>
      <w:pStyle w:val="Numeraoartigo"/>
      <w:lvlText w:val="Art. %1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AC054C"/>
    <w:multiLevelType w:val="hybridMultilevel"/>
    <w:tmpl w:val="202EE19A"/>
    <w:lvl w:ilvl="0" w:tplc="535AF312">
      <w:start w:val="10"/>
      <w:numFmt w:val="decimal"/>
      <w:pStyle w:val="Numeraoartigo2"/>
      <w:lvlText w:val="Art. 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0E23"/>
    <w:multiLevelType w:val="hybridMultilevel"/>
    <w:tmpl w:val="E15C2762"/>
    <w:lvl w:ilvl="0" w:tplc="1F266E8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0F36152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88084A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6BD7CC9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34B28FA"/>
    <w:multiLevelType w:val="hybridMultilevel"/>
    <w:tmpl w:val="C7D862FC"/>
    <w:lvl w:ilvl="0" w:tplc="2CA2AA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8B85A53"/>
    <w:multiLevelType w:val="hybridMultilevel"/>
    <w:tmpl w:val="C7D862FC"/>
    <w:lvl w:ilvl="0" w:tplc="2CA2AA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57A37F5"/>
    <w:multiLevelType w:val="hybridMultilevel"/>
    <w:tmpl w:val="9786898A"/>
    <w:lvl w:ilvl="0" w:tplc="4A9A6ED0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B950A87"/>
    <w:multiLevelType w:val="hybridMultilevel"/>
    <w:tmpl w:val="294483BA"/>
    <w:lvl w:ilvl="0" w:tplc="4A9A6ED0">
      <w:start w:val="1"/>
      <w:numFmt w:val="upperRoman"/>
      <w:lvlText w:val="%1 -"/>
      <w:lvlJc w:val="left"/>
      <w:pPr>
        <w:ind w:left="720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E0602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1482B94"/>
    <w:multiLevelType w:val="hybridMultilevel"/>
    <w:tmpl w:val="34BA1994"/>
    <w:lvl w:ilvl="0" w:tplc="4A9A6ED0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4E30B0D"/>
    <w:multiLevelType w:val="hybridMultilevel"/>
    <w:tmpl w:val="E6260680"/>
    <w:lvl w:ilvl="0" w:tplc="CA6E74D0">
      <w:start w:val="1"/>
      <w:numFmt w:val="ordinal"/>
      <w:pStyle w:val="Artigopargrafos"/>
      <w:lvlText w:val="§ %1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384146"/>
    <w:multiLevelType w:val="hybridMultilevel"/>
    <w:tmpl w:val="294483BA"/>
    <w:lvl w:ilvl="0" w:tplc="4A9A6ED0">
      <w:start w:val="1"/>
      <w:numFmt w:val="upperRoman"/>
      <w:lvlText w:val="%1 -"/>
      <w:lvlJc w:val="left"/>
      <w:pPr>
        <w:ind w:left="720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404D"/>
    <w:multiLevelType w:val="hybridMultilevel"/>
    <w:tmpl w:val="C7D862FC"/>
    <w:lvl w:ilvl="0" w:tplc="2CA2AA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2401D54"/>
    <w:multiLevelType w:val="hybridMultilevel"/>
    <w:tmpl w:val="05ACF974"/>
    <w:lvl w:ilvl="0" w:tplc="9760D7B6">
      <w:start w:val="1"/>
      <w:numFmt w:val="upperRoman"/>
      <w:lvlText w:val="%1 -"/>
      <w:lvlJc w:val="left"/>
      <w:pPr>
        <w:ind w:left="1854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E9422C0"/>
    <w:multiLevelType w:val="hybridMultilevel"/>
    <w:tmpl w:val="C7D862FC"/>
    <w:lvl w:ilvl="0" w:tplc="2CA2AA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E983BE3"/>
    <w:multiLevelType w:val="hybridMultilevel"/>
    <w:tmpl w:val="F5881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0AC9"/>
    <w:multiLevelType w:val="hybridMultilevel"/>
    <w:tmpl w:val="34BA1994"/>
    <w:lvl w:ilvl="0" w:tplc="4A9A6ED0">
      <w:start w:val="1"/>
      <w:numFmt w:val="upperRoman"/>
      <w:lvlText w:val="%1 -"/>
      <w:lvlJc w:val="left"/>
      <w:pPr>
        <w:ind w:left="3621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75BB5966"/>
    <w:multiLevelType w:val="hybridMultilevel"/>
    <w:tmpl w:val="C7D862FC"/>
    <w:lvl w:ilvl="0" w:tplc="2CA2AA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CE41545"/>
    <w:multiLevelType w:val="hybridMultilevel"/>
    <w:tmpl w:val="34BA1994"/>
    <w:lvl w:ilvl="0" w:tplc="4A9A6ED0">
      <w:start w:val="1"/>
      <w:numFmt w:val="upperRoman"/>
      <w:lvlText w:val="%1 -"/>
      <w:lvlJc w:val="left"/>
      <w:pPr>
        <w:ind w:left="5322" w:hanging="360"/>
      </w:pPr>
      <w:rPr>
        <w:rFonts w:ascii="Arial" w:eastAsia="Arial" w:hAnsi="Arial" w:hint="default"/>
        <w:color w:val="262626"/>
        <w:w w:val="10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8"/>
  </w:num>
  <w:num w:numId="5">
    <w:abstractNumId w:val="17"/>
  </w:num>
  <w:num w:numId="6">
    <w:abstractNumId w:val="15"/>
  </w:num>
  <w:num w:numId="7">
    <w:abstractNumId w:val="21"/>
  </w:num>
  <w:num w:numId="8">
    <w:abstractNumId w:val="9"/>
  </w:num>
  <w:num w:numId="9">
    <w:abstractNumId w:val="12"/>
  </w:num>
  <w:num w:numId="10">
    <w:abstractNumId w:val="19"/>
  </w:num>
  <w:num w:numId="11">
    <w:abstractNumId w:val="1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"/>
  </w:num>
  <w:num w:numId="16">
    <w:abstractNumId w:val="10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4"/>
  </w:num>
  <w:num w:numId="24">
    <w:abstractNumId w:val="4"/>
  </w:num>
  <w:num w:numId="25">
    <w:abstractNumId w:val="0"/>
  </w:num>
  <w:num w:numId="26">
    <w:abstractNumId w:val="6"/>
  </w:num>
  <w:num w:numId="27">
    <w:abstractNumId w:val="13"/>
    <w:lvlOverride w:ilvl="0">
      <w:startOverride w:val="1"/>
    </w:lvlOverride>
  </w:num>
  <w:num w:numId="28">
    <w:abstractNumId w:val="16"/>
  </w:num>
  <w:num w:numId="29">
    <w:abstractNumId w:val="13"/>
    <w:lvlOverride w:ilvl="0">
      <w:startOverride w:val="1"/>
    </w:lvlOverride>
  </w:num>
  <w:num w:numId="30">
    <w:abstractNumId w:val="5"/>
  </w:num>
  <w:num w:numId="31">
    <w:abstractNumId w:val="13"/>
    <w:lvlOverride w:ilvl="0">
      <w:startOverride w:val="1"/>
    </w:lvlOverride>
  </w:num>
  <w:num w:numId="32">
    <w:abstractNumId w:val="18"/>
  </w:num>
  <w:num w:numId="33">
    <w:abstractNumId w:val="3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13"/>
    <w:lvlOverride w:ilvl="0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</w:num>
  <w:num w:numId="41">
    <w:abstractNumId w:val="2"/>
  </w:num>
  <w:num w:numId="42">
    <w:abstractNumId w:val="2"/>
  </w:num>
  <w:num w:numId="43">
    <w:abstractNumId w:val="2"/>
  </w:num>
  <w:num w:numId="44">
    <w:abstractNumId w:val="13"/>
  </w:num>
  <w:num w:numId="45">
    <w:abstractNumId w:val="13"/>
    <w:lvlOverride w:ilvl="0">
      <w:startOverride w:val="1"/>
    </w:lvlOverride>
  </w:num>
  <w:num w:numId="46">
    <w:abstractNumId w:val="13"/>
  </w:num>
  <w:num w:numId="47">
    <w:abstractNumId w:val="13"/>
    <w:lvlOverride w:ilvl="0">
      <w:startOverride w:val="1"/>
    </w:lvlOverride>
  </w:num>
  <w:num w:numId="48">
    <w:abstractNumId w:val="13"/>
  </w:num>
  <w:num w:numId="49">
    <w:abstractNumId w:val="13"/>
    <w:lvlOverride w:ilvl="0">
      <w:startOverride w:val="1"/>
    </w:lvlOverride>
  </w:num>
  <w:num w:numId="50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revisionView w:inkAnnotation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DD"/>
    <w:rsid w:val="00000DD4"/>
    <w:rsid w:val="0000174D"/>
    <w:rsid w:val="00002057"/>
    <w:rsid w:val="0000420D"/>
    <w:rsid w:val="00005823"/>
    <w:rsid w:val="00006B98"/>
    <w:rsid w:val="00011BB6"/>
    <w:rsid w:val="000169B6"/>
    <w:rsid w:val="00017A6D"/>
    <w:rsid w:val="0002095A"/>
    <w:rsid w:val="000213E6"/>
    <w:rsid w:val="000237BF"/>
    <w:rsid w:val="00024914"/>
    <w:rsid w:val="00031538"/>
    <w:rsid w:val="000317FA"/>
    <w:rsid w:val="000319C4"/>
    <w:rsid w:val="00034E17"/>
    <w:rsid w:val="00036FD9"/>
    <w:rsid w:val="00040B01"/>
    <w:rsid w:val="00043067"/>
    <w:rsid w:val="00044C6E"/>
    <w:rsid w:val="00044D3E"/>
    <w:rsid w:val="0004644A"/>
    <w:rsid w:val="00046705"/>
    <w:rsid w:val="0005180E"/>
    <w:rsid w:val="000553AA"/>
    <w:rsid w:val="000600D5"/>
    <w:rsid w:val="00060AE6"/>
    <w:rsid w:val="00061BF0"/>
    <w:rsid w:val="00062674"/>
    <w:rsid w:val="00062D76"/>
    <w:rsid w:val="000639BE"/>
    <w:rsid w:val="00063F0D"/>
    <w:rsid w:val="00064522"/>
    <w:rsid w:val="00064E37"/>
    <w:rsid w:val="000654B0"/>
    <w:rsid w:val="000663FE"/>
    <w:rsid w:val="00066774"/>
    <w:rsid w:val="000718B7"/>
    <w:rsid w:val="00071DF9"/>
    <w:rsid w:val="00075051"/>
    <w:rsid w:val="00075BB0"/>
    <w:rsid w:val="00081692"/>
    <w:rsid w:val="000834AC"/>
    <w:rsid w:val="00083BBE"/>
    <w:rsid w:val="00090C20"/>
    <w:rsid w:val="00094283"/>
    <w:rsid w:val="000953F5"/>
    <w:rsid w:val="000A0BD4"/>
    <w:rsid w:val="000A248B"/>
    <w:rsid w:val="000A3E9E"/>
    <w:rsid w:val="000A4152"/>
    <w:rsid w:val="000A690F"/>
    <w:rsid w:val="000B0D72"/>
    <w:rsid w:val="000B0F6C"/>
    <w:rsid w:val="000B10DD"/>
    <w:rsid w:val="000B14A1"/>
    <w:rsid w:val="000B151E"/>
    <w:rsid w:val="000B2298"/>
    <w:rsid w:val="000B2CFE"/>
    <w:rsid w:val="000B3C86"/>
    <w:rsid w:val="000B54B5"/>
    <w:rsid w:val="000B7647"/>
    <w:rsid w:val="000C01B3"/>
    <w:rsid w:val="000C0809"/>
    <w:rsid w:val="000C1133"/>
    <w:rsid w:val="000C1B8C"/>
    <w:rsid w:val="000C2508"/>
    <w:rsid w:val="000C2675"/>
    <w:rsid w:val="000C4F44"/>
    <w:rsid w:val="000C6931"/>
    <w:rsid w:val="000C72F2"/>
    <w:rsid w:val="000D0133"/>
    <w:rsid w:val="000D074E"/>
    <w:rsid w:val="000D155C"/>
    <w:rsid w:val="000D3921"/>
    <w:rsid w:val="000D5FCA"/>
    <w:rsid w:val="000E0020"/>
    <w:rsid w:val="000E09C9"/>
    <w:rsid w:val="000E09D9"/>
    <w:rsid w:val="000E13FA"/>
    <w:rsid w:val="000E289C"/>
    <w:rsid w:val="000E4402"/>
    <w:rsid w:val="000E5115"/>
    <w:rsid w:val="000E5EC5"/>
    <w:rsid w:val="000E60CC"/>
    <w:rsid w:val="000E76E3"/>
    <w:rsid w:val="000F1DBF"/>
    <w:rsid w:val="000F1FCC"/>
    <w:rsid w:val="000F2548"/>
    <w:rsid w:val="000F2E4D"/>
    <w:rsid w:val="000F2F38"/>
    <w:rsid w:val="000F30DD"/>
    <w:rsid w:val="000F37BD"/>
    <w:rsid w:val="000F4AF0"/>
    <w:rsid w:val="000F5FC0"/>
    <w:rsid w:val="000F7536"/>
    <w:rsid w:val="000F7B98"/>
    <w:rsid w:val="000F7BB8"/>
    <w:rsid w:val="001018C8"/>
    <w:rsid w:val="0010268B"/>
    <w:rsid w:val="0010367E"/>
    <w:rsid w:val="001045FA"/>
    <w:rsid w:val="0011039A"/>
    <w:rsid w:val="001104C1"/>
    <w:rsid w:val="00112095"/>
    <w:rsid w:val="0011460E"/>
    <w:rsid w:val="00114C39"/>
    <w:rsid w:val="00115473"/>
    <w:rsid w:val="00115BB2"/>
    <w:rsid w:val="00115C35"/>
    <w:rsid w:val="00116C38"/>
    <w:rsid w:val="00117EEE"/>
    <w:rsid w:val="00120076"/>
    <w:rsid w:val="00121196"/>
    <w:rsid w:val="00123BEE"/>
    <w:rsid w:val="0012554A"/>
    <w:rsid w:val="00127DF8"/>
    <w:rsid w:val="00131266"/>
    <w:rsid w:val="001344B8"/>
    <w:rsid w:val="00135404"/>
    <w:rsid w:val="001378C6"/>
    <w:rsid w:val="0014220F"/>
    <w:rsid w:val="001448B6"/>
    <w:rsid w:val="001466E3"/>
    <w:rsid w:val="001472A4"/>
    <w:rsid w:val="00151BC2"/>
    <w:rsid w:val="0015275F"/>
    <w:rsid w:val="001534BB"/>
    <w:rsid w:val="00153E27"/>
    <w:rsid w:val="00154212"/>
    <w:rsid w:val="00160104"/>
    <w:rsid w:val="001609D8"/>
    <w:rsid w:val="00161935"/>
    <w:rsid w:val="00162EC1"/>
    <w:rsid w:val="00163729"/>
    <w:rsid w:val="00163906"/>
    <w:rsid w:val="00164321"/>
    <w:rsid w:val="001647B9"/>
    <w:rsid w:val="00164931"/>
    <w:rsid w:val="00167DF7"/>
    <w:rsid w:val="00170766"/>
    <w:rsid w:val="00170B42"/>
    <w:rsid w:val="00176FD6"/>
    <w:rsid w:val="001772D0"/>
    <w:rsid w:val="00177ECB"/>
    <w:rsid w:val="00182D0E"/>
    <w:rsid w:val="00183D41"/>
    <w:rsid w:val="00185100"/>
    <w:rsid w:val="001872C1"/>
    <w:rsid w:val="001901E7"/>
    <w:rsid w:val="00190B10"/>
    <w:rsid w:val="0019214F"/>
    <w:rsid w:val="00194BE9"/>
    <w:rsid w:val="0019549B"/>
    <w:rsid w:val="0019570C"/>
    <w:rsid w:val="00196F02"/>
    <w:rsid w:val="0019780C"/>
    <w:rsid w:val="001A0125"/>
    <w:rsid w:val="001A14BC"/>
    <w:rsid w:val="001A15CB"/>
    <w:rsid w:val="001A224A"/>
    <w:rsid w:val="001A35BA"/>
    <w:rsid w:val="001A38F1"/>
    <w:rsid w:val="001A5977"/>
    <w:rsid w:val="001A5B59"/>
    <w:rsid w:val="001A6362"/>
    <w:rsid w:val="001A67FC"/>
    <w:rsid w:val="001A7510"/>
    <w:rsid w:val="001B07F4"/>
    <w:rsid w:val="001B3A8B"/>
    <w:rsid w:val="001B578C"/>
    <w:rsid w:val="001B5849"/>
    <w:rsid w:val="001C1837"/>
    <w:rsid w:val="001C2000"/>
    <w:rsid w:val="001C3818"/>
    <w:rsid w:val="001C3A5E"/>
    <w:rsid w:val="001C4DE5"/>
    <w:rsid w:val="001C54E0"/>
    <w:rsid w:val="001C569C"/>
    <w:rsid w:val="001C6BC9"/>
    <w:rsid w:val="001D0790"/>
    <w:rsid w:val="001D0882"/>
    <w:rsid w:val="001D0F10"/>
    <w:rsid w:val="001D15F8"/>
    <w:rsid w:val="001D1D69"/>
    <w:rsid w:val="001D1E19"/>
    <w:rsid w:val="001D2DD2"/>
    <w:rsid w:val="001D4568"/>
    <w:rsid w:val="001D4596"/>
    <w:rsid w:val="001D49F1"/>
    <w:rsid w:val="001D6DFB"/>
    <w:rsid w:val="001D7D6A"/>
    <w:rsid w:val="001E04C7"/>
    <w:rsid w:val="001E60E1"/>
    <w:rsid w:val="001E6AC6"/>
    <w:rsid w:val="001F3417"/>
    <w:rsid w:val="001F50C9"/>
    <w:rsid w:val="001F68F1"/>
    <w:rsid w:val="002008AE"/>
    <w:rsid w:val="00200EFB"/>
    <w:rsid w:val="002016FA"/>
    <w:rsid w:val="0020230B"/>
    <w:rsid w:val="002057F9"/>
    <w:rsid w:val="00206262"/>
    <w:rsid w:val="002062DC"/>
    <w:rsid w:val="002075EF"/>
    <w:rsid w:val="002107BF"/>
    <w:rsid w:val="00210F04"/>
    <w:rsid w:val="002159FC"/>
    <w:rsid w:val="002163A3"/>
    <w:rsid w:val="002168E3"/>
    <w:rsid w:val="00216B79"/>
    <w:rsid w:val="00220F15"/>
    <w:rsid w:val="0022435D"/>
    <w:rsid w:val="00224733"/>
    <w:rsid w:val="00225950"/>
    <w:rsid w:val="00227517"/>
    <w:rsid w:val="0022789E"/>
    <w:rsid w:val="00230E77"/>
    <w:rsid w:val="00231B47"/>
    <w:rsid w:val="00233411"/>
    <w:rsid w:val="0023540A"/>
    <w:rsid w:val="00237D38"/>
    <w:rsid w:val="0024109C"/>
    <w:rsid w:val="0024142B"/>
    <w:rsid w:val="00241903"/>
    <w:rsid w:val="00242C58"/>
    <w:rsid w:val="00242F64"/>
    <w:rsid w:val="00247ADB"/>
    <w:rsid w:val="00247AF4"/>
    <w:rsid w:val="00250A31"/>
    <w:rsid w:val="00251BA6"/>
    <w:rsid w:val="00254941"/>
    <w:rsid w:val="00255741"/>
    <w:rsid w:val="00257680"/>
    <w:rsid w:val="00260160"/>
    <w:rsid w:val="002604CA"/>
    <w:rsid w:val="002614AE"/>
    <w:rsid w:val="002614FF"/>
    <w:rsid w:val="002616EB"/>
    <w:rsid w:val="00264129"/>
    <w:rsid w:val="002642E1"/>
    <w:rsid w:val="002676C9"/>
    <w:rsid w:val="002703B8"/>
    <w:rsid w:val="00270411"/>
    <w:rsid w:val="00271F62"/>
    <w:rsid w:val="0027200B"/>
    <w:rsid w:val="00272065"/>
    <w:rsid w:val="0027258C"/>
    <w:rsid w:val="00273FF4"/>
    <w:rsid w:val="00274552"/>
    <w:rsid w:val="0027464C"/>
    <w:rsid w:val="00274C47"/>
    <w:rsid w:val="00276245"/>
    <w:rsid w:val="0028193C"/>
    <w:rsid w:val="00282259"/>
    <w:rsid w:val="00282394"/>
    <w:rsid w:val="002835B0"/>
    <w:rsid w:val="00283A9D"/>
    <w:rsid w:val="002904B1"/>
    <w:rsid w:val="00292624"/>
    <w:rsid w:val="00292BF9"/>
    <w:rsid w:val="002935D7"/>
    <w:rsid w:val="00293E5D"/>
    <w:rsid w:val="0029446A"/>
    <w:rsid w:val="00296F11"/>
    <w:rsid w:val="002A145D"/>
    <w:rsid w:val="002A28A1"/>
    <w:rsid w:val="002A4C16"/>
    <w:rsid w:val="002A5A37"/>
    <w:rsid w:val="002A5E20"/>
    <w:rsid w:val="002A66DC"/>
    <w:rsid w:val="002A74EE"/>
    <w:rsid w:val="002A7B39"/>
    <w:rsid w:val="002B38B0"/>
    <w:rsid w:val="002B5086"/>
    <w:rsid w:val="002B5D46"/>
    <w:rsid w:val="002B7E47"/>
    <w:rsid w:val="002C0F0B"/>
    <w:rsid w:val="002C180D"/>
    <w:rsid w:val="002C25A0"/>
    <w:rsid w:val="002C2E2A"/>
    <w:rsid w:val="002C318E"/>
    <w:rsid w:val="002C6AF6"/>
    <w:rsid w:val="002C74C7"/>
    <w:rsid w:val="002C7A24"/>
    <w:rsid w:val="002D1C00"/>
    <w:rsid w:val="002D3A43"/>
    <w:rsid w:val="002D409D"/>
    <w:rsid w:val="002D572D"/>
    <w:rsid w:val="002D66AB"/>
    <w:rsid w:val="002D6892"/>
    <w:rsid w:val="002D6FCC"/>
    <w:rsid w:val="002D7805"/>
    <w:rsid w:val="002E0A32"/>
    <w:rsid w:val="002E1DDA"/>
    <w:rsid w:val="002E4788"/>
    <w:rsid w:val="002E5DEC"/>
    <w:rsid w:val="002E6997"/>
    <w:rsid w:val="002E6C49"/>
    <w:rsid w:val="002E77E1"/>
    <w:rsid w:val="002F3C78"/>
    <w:rsid w:val="002F3F56"/>
    <w:rsid w:val="002F49CE"/>
    <w:rsid w:val="002F4B9A"/>
    <w:rsid w:val="002F5C29"/>
    <w:rsid w:val="002F7412"/>
    <w:rsid w:val="002F7C02"/>
    <w:rsid w:val="003024FA"/>
    <w:rsid w:val="00302D81"/>
    <w:rsid w:val="00305893"/>
    <w:rsid w:val="00306E7C"/>
    <w:rsid w:val="0031041A"/>
    <w:rsid w:val="0031054C"/>
    <w:rsid w:val="00310A88"/>
    <w:rsid w:val="00311967"/>
    <w:rsid w:val="0031255C"/>
    <w:rsid w:val="003133AE"/>
    <w:rsid w:val="00313C5C"/>
    <w:rsid w:val="00313EE2"/>
    <w:rsid w:val="00314568"/>
    <w:rsid w:val="00314778"/>
    <w:rsid w:val="00315FA8"/>
    <w:rsid w:val="00320D7E"/>
    <w:rsid w:val="003232CC"/>
    <w:rsid w:val="003235DD"/>
    <w:rsid w:val="00327B0E"/>
    <w:rsid w:val="00332B9C"/>
    <w:rsid w:val="0033308E"/>
    <w:rsid w:val="003333D6"/>
    <w:rsid w:val="0033446C"/>
    <w:rsid w:val="0033517E"/>
    <w:rsid w:val="003371B0"/>
    <w:rsid w:val="0034079A"/>
    <w:rsid w:val="0034321D"/>
    <w:rsid w:val="00343678"/>
    <w:rsid w:val="00343AE0"/>
    <w:rsid w:val="00343B35"/>
    <w:rsid w:val="00343E5F"/>
    <w:rsid w:val="003445C5"/>
    <w:rsid w:val="00347307"/>
    <w:rsid w:val="003511D6"/>
    <w:rsid w:val="00351476"/>
    <w:rsid w:val="00351E97"/>
    <w:rsid w:val="00353B38"/>
    <w:rsid w:val="00353F2A"/>
    <w:rsid w:val="003553A6"/>
    <w:rsid w:val="0035666B"/>
    <w:rsid w:val="00356D61"/>
    <w:rsid w:val="00360A8B"/>
    <w:rsid w:val="00361C2A"/>
    <w:rsid w:val="00362737"/>
    <w:rsid w:val="00362A52"/>
    <w:rsid w:val="003646B3"/>
    <w:rsid w:val="003650D8"/>
    <w:rsid w:val="00365C19"/>
    <w:rsid w:val="00370350"/>
    <w:rsid w:val="00380EA0"/>
    <w:rsid w:val="003818B7"/>
    <w:rsid w:val="0038407F"/>
    <w:rsid w:val="00384F24"/>
    <w:rsid w:val="003865D2"/>
    <w:rsid w:val="00391D73"/>
    <w:rsid w:val="0039237F"/>
    <w:rsid w:val="00392680"/>
    <w:rsid w:val="00394744"/>
    <w:rsid w:val="00394B6C"/>
    <w:rsid w:val="0039620A"/>
    <w:rsid w:val="00396DE1"/>
    <w:rsid w:val="00396FF5"/>
    <w:rsid w:val="003975F5"/>
    <w:rsid w:val="003A013D"/>
    <w:rsid w:val="003A1C09"/>
    <w:rsid w:val="003A3005"/>
    <w:rsid w:val="003A384F"/>
    <w:rsid w:val="003A485E"/>
    <w:rsid w:val="003A54EC"/>
    <w:rsid w:val="003A70BF"/>
    <w:rsid w:val="003A776C"/>
    <w:rsid w:val="003B074A"/>
    <w:rsid w:val="003B22D9"/>
    <w:rsid w:val="003B2C9D"/>
    <w:rsid w:val="003B3A54"/>
    <w:rsid w:val="003B4FB1"/>
    <w:rsid w:val="003B5938"/>
    <w:rsid w:val="003B5EA3"/>
    <w:rsid w:val="003B6A07"/>
    <w:rsid w:val="003B707D"/>
    <w:rsid w:val="003C27C1"/>
    <w:rsid w:val="003C5F29"/>
    <w:rsid w:val="003D00A8"/>
    <w:rsid w:val="003D096F"/>
    <w:rsid w:val="003D25AD"/>
    <w:rsid w:val="003D6341"/>
    <w:rsid w:val="003E03D2"/>
    <w:rsid w:val="003E161C"/>
    <w:rsid w:val="003E1E76"/>
    <w:rsid w:val="003E2622"/>
    <w:rsid w:val="003E5E89"/>
    <w:rsid w:val="003F0191"/>
    <w:rsid w:val="003F1C6B"/>
    <w:rsid w:val="003F21AC"/>
    <w:rsid w:val="003F2335"/>
    <w:rsid w:val="003F23F6"/>
    <w:rsid w:val="003F2D9D"/>
    <w:rsid w:val="003F38B6"/>
    <w:rsid w:val="003F6BC7"/>
    <w:rsid w:val="003F6EE7"/>
    <w:rsid w:val="0040073D"/>
    <w:rsid w:val="004009F0"/>
    <w:rsid w:val="00405290"/>
    <w:rsid w:val="00406E29"/>
    <w:rsid w:val="0041150F"/>
    <w:rsid w:val="0041244E"/>
    <w:rsid w:val="00412A95"/>
    <w:rsid w:val="0041368D"/>
    <w:rsid w:val="00414C7A"/>
    <w:rsid w:val="00415484"/>
    <w:rsid w:val="00416426"/>
    <w:rsid w:val="00416A87"/>
    <w:rsid w:val="00416B91"/>
    <w:rsid w:val="00420667"/>
    <w:rsid w:val="00421CB3"/>
    <w:rsid w:val="004231E0"/>
    <w:rsid w:val="0042577A"/>
    <w:rsid w:val="00425C6E"/>
    <w:rsid w:val="00427FCC"/>
    <w:rsid w:val="004308AF"/>
    <w:rsid w:val="00431CBE"/>
    <w:rsid w:val="00433A01"/>
    <w:rsid w:val="004346E2"/>
    <w:rsid w:val="00436860"/>
    <w:rsid w:val="004379DF"/>
    <w:rsid w:val="00441CF6"/>
    <w:rsid w:val="004500B0"/>
    <w:rsid w:val="004510BA"/>
    <w:rsid w:val="00452DE6"/>
    <w:rsid w:val="00453B80"/>
    <w:rsid w:val="004556A4"/>
    <w:rsid w:val="00456F3B"/>
    <w:rsid w:val="00461923"/>
    <w:rsid w:val="00466096"/>
    <w:rsid w:val="00467E03"/>
    <w:rsid w:val="004705DD"/>
    <w:rsid w:val="0047366C"/>
    <w:rsid w:val="004753A7"/>
    <w:rsid w:val="00477A36"/>
    <w:rsid w:val="00481FC2"/>
    <w:rsid w:val="00483719"/>
    <w:rsid w:val="00483DF5"/>
    <w:rsid w:val="00490915"/>
    <w:rsid w:val="00491D67"/>
    <w:rsid w:val="004955B7"/>
    <w:rsid w:val="004A0A3E"/>
    <w:rsid w:val="004A0EA9"/>
    <w:rsid w:val="004A113A"/>
    <w:rsid w:val="004A401D"/>
    <w:rsid w:val="004A5714"/>
    <w:rsid w:val="004A78F2"/>
    <w:rsid w:val="004B01EC"/>
    <w:rsid w:val="004B21DA"/>
    <w:rsid w:val="004B2D64"/>
    <w:rsid w:val="004B5604"/>
    <w:rsid w:val="004B5B75"/>
    <w:rsid w:val="004B62A5"/>
    <w:rsid w:val="004B62AA"/>
    <w:rsid w:val="004B67FC"/>
    <w:rsid w:val="004C0444"/>
    <w:rsid w:val="004C3737"/>
    <w:rsid w:val="004C3754"/>
    <w:rsid w:val="004C3BD5"/>
    <w:rsid w:val="004C457A"/>
    <w:rsid w:val="004C706F"/>
    <w:rsid w:val="004C7A6A"/>
    <w:rsid w:val="004D0518"/>
    <w:rsid w:val="004D0A55"/>
    <w:rsid w:val="004D1A59"/>
    <w:rsid w:val="004D1EF5"/>
    <w:rsid w:val="004D33E7"/>
    <w:rsid w:val="004D53D4"/>
    <w:rsid w:val="004D65B1"/>
    <w:rsid w:val="004D6612"/>
    <w:rsid w:val="004D73C5"/>
    <w:rsid w:val="004E182B"/>
    <w:rsid w:val="004E1856"/>
    <w:rsid w:val="004E1D28"/>
    <w:rsid w:val="004E2550"/>
    <w:rsid w:val="004E3E7C"/>
    <w:rsid w:val="004E4324"/>
    <w:rsid w:val="004E5EE3"/>
    <w:rsid w:val="004F05E7"/>
    <w:rsid w:val="004F21C8"/>
    <w:rsid w:val="004F5610"/>
    <w:rsid w:val="004F6DAB"/>
    <w:rsid w:val="0050047E"/>
    <w:rsid w:val="00501661"/>
    <w:rsid w:val="00503FB1"/>
    <w:rsid w:val="00505628"/>
    <w:rsid w:val="005069A8"/>
    <w:rsid w:val="00506C83"/>
    <w:rsid w:val="0050734E"/>
    <w:rsid w:val="00510AF9"/>
    <w:rsid w:val="00512E22"/>
    <w:rsid w:val="0051361A"/>
    <w:rsid w:val="005146FB"/>
    <w:rsid w:val="00516103"/>
    <w:rsid w:val="00517513"/>
    <w:rsid w:val="005216E0"/>
    <w:rsid w:val="005217F2"/>
    <w:rsid w:val="005218E9"/>
    <w:rsid w:val="00523760"/>
    <w:rsid w:val="00523C3E"/>
    <w:rsid w:val="00523E83"/>
    <w:rsid w:val="0052479E"/>
    <w:rsid w:val="00525253"/>
    <w:rsid w:val="00526DB8"/>
    <w:rsid w:val="0052706B"/>
    <w:rsid w:val="0053175A"/>
    <w:rsid w:val="00532332"/>
    <w:rsid w:val="005365C0"/>
    <w:rsid w:val="00540F0C"/>
    <w:rsid w:val="005426CE"/>
    <w:rsid w:val="005428EC"/>
    <w:rsid w:val="00542B23"/>
    <w:rsid w:val="00544E69"/>
    <w:rsid w:val="00547BCD"/>
    <w:rsid w:val="00552B71"/>
    <w:rsid w:val="00553276"/>
    <w:rsid w:val="005537D0"/>
    <w:rsid w:val="00555221"/>
    <w:rsid w:val="0055724D"/>
    <w:rsid w:val="00557733"/>
    <w:rsid w:val="005577D3"/>
    <w:rsid w:val="0055793D"/>
    <w:rsid w:val="00557E9B"/>
    <w:rsid w:val="0056021D"/>
    <w:rsid w:val="005639A0"/>
    <w:rsid w:val="005648DF"/>
    <w:rsid w:val="005669E4"/>
    <w:rsid w:val="00566A28"/>
    <w:rsid w:val="00574EB4"/>
    <w:rsid w:val="00575126"/>
    <w:rsid w:val="005755AF"/>
    <w:rsid w:val="00580C78"/>
    <w:rsid w:val="0058393D"/>
    <w:rsid w:val="00584566"/>
    <w:rsid w:val="00584B93"/>
    <w:rsid w:val="005857FD"/>
    <w:rsid w:val="00590D73"/>
    <w:rsid w:val="0059108D"/>
    <w:rsid w:val="005915C6"/>
    <w:rsid w:val="00591EB5"/>
    <w:rsid w:val="0059243C"/>
    <w:rsid w:val="005949EE"/>
    <w:rsid w:val="00596FC9"/>
    <w:rsid w:val="005A04C3"/>
    <w:rsid w:val="005A730C"/>
    <w:rsid w:val="005A7CC5"/>
    <w:rsid w:val="005B0B35"/>
    <w:rsid w:val="005B1082"/>
    <w:rsid w:val="005B3764"/>
    <w:rsid w:val="005B43F4"/>
    <w:rsid w:val="005B69AB"/>
    <w:rsid w:val="005B75A0"/>
    <w:rsid w:val="005C0040"/>
    <w:rsid w:val="005C2E10"/>
    <w:rsid w:val="005C32BC"/>
    <w:rsid w:val="005C58DA"/>
    <w:rsid w:val="005D3CFF"/>
    <w:rsid w:val="005D45B2"/>
    <w:rsid w:val="005D45EA"/>
    <w:rsid w:val="005D5B3A"/>
    <w:rsid w:val="005E0D74"/>
    <w:rsid w:val="005E3AC6"/>
    <w:rsid w:val="005F34D8"/>
    <w:rsid w:val="005F6F5C"/>
    <w:rsid w:val="005F70DE"/>
    <w:rsid w:val="005F7C65"/>
    <w:rsid w:val="00602574"/>
    <w:rsid w:val="0060276F"/>
    <w:rsid w:val="00606744"/>
    <w:rsid w:val="006072E1"/>
    <w:rsid w:val="00611244"/>
    <w:rsid w:val="00611D35"/>
    <w:rsid w:val="00612416"/>
    <w:rsid w:val="00612C0A"/>
    <w:rsid w:val="00612CE1"/>
    <w:rsid w:val="00613FCB"/>
    <w:rsid w:val="00616601"/>
    <w:rsid w:val="00617DE2"/>
    <w:rsid w:val="00617F99"/>
    <w:rsid w:val="00620CD9"/>
    <w:rsid w:val="006222E7"/>
    <w:rsid w:val="00622BCB"/>
    <w:rsid w:val="006230A0"/>
    <w:rsid w:val="00623DF8"/>
    <w:rsid w:val="006241C3"/>
    <w:rsid w:val="0062457C"/>
    <w:rsid w:val="00625A72"/>
    <w:rsid w:val="006310DB"/>
    <w:rsid w:val="00631A37"/>
    <w:rsid w:val="006330CD"/>
    <w:rsid w:val="00634C7C"/>
    <w:rsid w:val="00637184"/>
    <w:rsid w:val="006425CA"/>
    <w:rsid w:val="0064382B"/>
    <w:rsid w:val="006441F4"/>
    <w:rsid w:val="00644DB2"/>
    <w:rsid w:val="006456B6"/>
    <w:rsid w:val="006471C9"/>
    <w:rsid w:val="00654755"/>
    <w:rsid w:val="00657592"/>
    <w:rsid w:val="00657CE8"/>
    <w:rsid w:val="00660AC6"/>
    <w:rsid w:val="00661A89"/>
    <w:rsid w:val="00663B8C"/>
    <w:rsid w:val="00664FAE"/>
    <w:rsid w:val="00670CCC"/>
    <w:rsid w:val="00670DB0"/>
    <w:rsid w:val="0067162F"/>
    <w:rsid w:val="00677D95"/>
    <w:rsid w:val="006803F6"/>
    <w:rsid w:val="00681B5D"/>
    <w:rsid w:val="00682E3A"/>
    <w:rsid w:val="006849F2"/>
    <w:rsid w:val="00684DC9"/>
    <w:rsid w:val="0068630B"/>
    <w:rsid w:val="00686C3D"/>
    <w:rsid w:val="0069145D"/>
    <w:rsid w:val="006916C9"/>
    <w:rsid w:val="0069359A"/>
    <w:rsid w:val="00696DCD"/>
    <w:rsid w:val="006A2CEC"/>
    <w:rsid w:val="006B0235"/>
    <w:rsid w:val="006B0CAC"/>
    <w:rsid w:val="006B0D1B"/>
    <w:rsid w:val="006B1846"/>
    <w:rsid w:val="006B6151"/>
    <w:rsid w:val="006B71E4"/>
    <w:rsid w:val="006B7A4B"/>
    <w:rsid w:val="006C0B1F"/>
    <w:rsid w:val="006C189F"/>
    <w:rsid w:val="006C3940"/>
    <w:rsid w:val="006D103C"/>
    <w:rsid w:val="006D10AA"/>
    <w:rsid w:val="006D29F4"/>
    <w:rsid w:val="006D3413"/>
    <w:rsid w:val="006D349B"/>
    <w:rsid w:val="006D38A4"/>
    <w:rsid w:val="006D4E85"/>
    <w:rsid w:val="006D719E"/>
    <w:rsid w:val="006D7CD5"/>
    <w:rsid w:val="006E0BA8"/>
    <w:rsid w:val="006E1C05"/>
    <w:rsid w:val="006E5827"/>
    <w:rsid w:val="006E6AFC"/>
    <w:rsid w:val="006F0ABC"/>
    <w:rsid w:val="006F0FBD"/>
    <w:rsid w:val="006F1340"/>
    <w:rsid w:val="006F20D7"/>
    <w:rsid w:val="006F2445"/>
    <w:rsid w:val="006F2976"/>
    <w:rsid w:val="006F3217"/>
    <w:rsid w:val="006F34ED"/>
    <w:rsid w:val="006F6CC9"/>
    <w:rsid w:val="007020E0"/>
    <w:rsid w:val="00702632"/>
    <w:rsid w:val="00703140"/>
    <w:rsid w:val="007036F9"/>
    <w:rsid w:val="0070778A"/>
    <w:rsid w:val="0070794A"/>
    <w:rsid w:val="0071036E"/>
    <w:rsid w:val="007107CA"/>
    <w:rsid w:val="00711710"/>
    <w:rsid w:val="00711F25"/>
    <w:rsid w:val="00713F89"/>
    <w:rsid w:val="0071458C"/>
    <w:rsid w:val="00715903"/>
    <w:rsid w:val="00716970"/>
    <w:rsid w:val="007210AB"/>
    <w:rsid w:val="00722BC8"/>
    <w:rsid w:val="00723484"/>
    <w:rsid w:val="007275FD"/>
    <w:rsid w:val="00727BA9"/>
    <w:rsid w:val="007308C4"/>
    <w:rsid w:val="00730BAD"/>
    <w:rsid w:val="00734E0D"/>
    <w:rsid w:val="007372B9"/>
    <w:rsid w:val="007402A0"/>
    <w:rsid w:val="00746A6C"/>
    <w:rsid w:val="0075072F"/>
    <w:rsid w:val="00750D54"/>
    <w:rsid w:val="00753583"/>
    <w:rsid w:val="00753874"/>
    <w:rsid w:val="007539AA"/>
    <w:rsid w:val="00754A3C"/>
    <w:rsid w:val="00754C3D"/>
    <w:rsid w:val="00756086"/>
    <w:rsid w:val="00760FF0"/>
    <w:rsid w:val="00761358"/>
    <w:rsid w:val="007617A7"/>
    <w:rsid w:val="00761C43"/>
    <w:rsid w:val="00763F5A"/>
    <w:rsid w:val="00766936"/>
    <w:rsid w:val="00766D57"/>
    <w:rsid w:val="00766E7F"/>
    <w:rsid w:val="00770B50"/>
    <w:rsid w:val="007711B3"/>
    <w:rsid w:val="00772705"/>
    <w:rsid w:val="00772D7F"/>
    <w:rsid w:val="00774E43"/>
    <w:rsid w:val="0077792B"/>
    <w:rsid w:val="00777C8B"/>
    <w:rsid w:val="007805C7"/>
    <w:rsid w:val="00781072"/>
    <w:rsid w:val="00781E57"/>
    <w:rsid w:val="007837FF"/>
    <w:rsid w:val="00783F3F"/>
    <w:rsid w:val="00785EF6"/>
    <w:rsid w:val="0078629D"/>
    <w:rsid w:val="007928A9"/>
    <w:rsid w:val="00793D48"/>
    <w:rsid w:val="0079461C"/>
    <w:rsid w:val="00797617"/>
    <w:rsid w:val="00797E12"/>
    <w:rsid w:val="007A1599"/>
    <w:rsid w:val="007A2581"/>
    <w:rsid w:val="007A2C03"/>
    <w:rsid w:val="007A3F1B"/>
    <w:rsid w:val="007A45E6"/>
    <w:rsid w:val="007A501B"/>
    <w:rsid w:val="007A51AC"/>
    <w:rsid w:val="007A615D"/>
    <w:rsid w:val="007B0201"/>
    <w:rsid w:val="007B08C9"/>
    <w:rsid w:val="007B1674"/>
    <w:rsid w:val="007B1B09"/>
    <w:rsid w:val="007B7448"/>
    <w:rsid w:val="007B7728"/>
    <w:rsid w:val="007C0086"/>
    <w:rsid w:val="007C0834"/>
    <w:rsid w:val="007C630E"/>
    <w:rsid w:val="007D021F"/>
    <w:rsid w:val="007D092A"/>
    <w:rsid w:val="007D2BF1"/>
    <w:rsid w:val="007D45E9"/>
    <w:rsid w:val="007D5107"/>
    <w:rsid w:val="007D6CBD"/>
    <w:rsid w:val="007D7675"/>
    <w:rsid w:val="007E241F"/>
    <w:rsid w:val="007E283F"/>
    <w:rsid w:val="007E2951"/>
    <w:rsid w:val="007E3A6F"/>
    <w:rsid w:val="007E3B94"/>
    <w:rsid w:val="007E3DAC"/>
    <w:rsid w:val="007E497F"/>
    <w:rsid w:val="007E78DF"/>
    <w:rsid w:val="007E7EA5"/>
    <w:rsid w:val="007F16F7"/>
    <w:rsid w:val="007F2A3C"/>
    <w:rsid w:val="007F4DDD"/>
    <w:rsid w:val="007F5662"/>
    <w:rsid w:val="007F6FEC"/>
    <w:rsid w:val="00800009"/>
    <w:rsid w:val="00804535"/>
    <w:rsid w:val="00806F37"/>
    <w:rsid w:val="00810D83"/>
    <w:rsid w:val="00810EEC"/>
    <w:rsid w:val="00811EC7"/>
    <w:rsid w:val="00812550"/>
    <w:rsid w:val="00814AC4"/>
    <w:rsid w:val="00815B06"/>
    <w:rsid w:val="00822A57"/>
    <w:rsid w:val="00824C01"/>
    <w:rsid w:val="008252AD"/>
    <w:rsid w:val="0083224F"/>
    <w:rsid w:val="00832AE0"/>
    <w:rsid w:val="00833D7C"/>
    <w:rsid w:val="00835012"/>
    <w:rsid w:val="008350A5"/>
    <w:rsid w:val="008356A1"/>
    <w:rsid w:val="00835EF8"/>
    <w:rsid w:val="00836927"/>
    <w:rsid w:val="00837743"/>
    <w:rsid w:val="00837B90"/>
    <w:rsid w:val="00842676"/>
    <w:rsid w:val="00843D07"/>
    <w:rsid w:val="00844A63"/>
    <w:rsid w:val="008453D4"/>
    <w:rsid w:val="0084594B"/>
    <w:rsid w:val="00846EEA"/>
    <w:rsid w:val="008508D1"/>
    <w:rsid w:val="00850E86"/>
    <w:rsid w:val="00853136"/>
    <w:rsid w:val="008543CD"/>
    <w:rsid w:val="00854893"/>
    <w:rsid w:val="00855C35"/>
    <w:rsid w:val="008571FB"/>
    <w:rsid w:val="00857EFE"/>
    <w:rsid w:val="0086325A"/>
    <w:rsid w:val="0086350C"/>
    <w:rsid w:val="00863A21"/>
    <w:rsid w:val="00864798"/>
    <w:rsid w:val="00865270"/>
    <w:rsid w:val="00865D7C"/>
    <w:rsid w:val="00866096"/>
    <w:rsid w:val="00866108"/>
    <w:rsid w:val="00867C50"/>
    <w:rsid w:val="00872B49"/>
    <w:rsid w:val="00873B10"/>
    <w:rsid w:val="0087476D"/>
    <w:rsid w:val="008752DE"/>
    <w:rsid w:val="00875837"/>
    <w:rsid w:val="00877304"/>
    <w:rsid w:val="0087766C"/>
    <w:rsid w:val="00880715"/>
    <w:rsid w:val="00881E24"/>
    <w:rsid w:val="00882171"/>
    <w:rsid w:val="00882A11"/>
    <w:rsid w:val="00882B10"/>
    <w:rsid w:val="00885037"/>
    <w:rsid w:val="008912CD"/>
    <w:rsid w:val="00892B5A"/>
    <w:rsid w:val="00893544"/>
    <w:rsid w:val="00893DF3"/>
    <w:rsid w:val="008943E1"/>
    <w:rsid w:val="00896023"/>
    <w:rsid w:val="008978E1"/>
    <w:rsid w:val="00897FCE"/>
    <w:rsid w:val="008A2CE8"/>
    <w:rsid w:val="008A3172"/>
    <w:rsid w:val="008A35C1"/>
    <w:rsid w:val="008A41D3"/>
    <w:rsid w:val="008A5268"/>
    <w:rsid w:val="008A6587"/>
    <w:rsid w:val="008A7454"/>
    <w:rsid w:val="008A775D"/>
    <w:rsid w:val="008B13D8"/>
    <w:rsid w:val="008B3D8D"/>
    <w:rsid w:val="008B43F9"/>
    <w:rsid w:val="008C0701"/>
    <w:rsid w:val="008C0E81"/>
    <w:rsid w:val="008C2696"/>
    <w:rsid w:val="008C7067"/>
    <w:rsid w:val="008C741C"/>
    <w:rsid w:val="008D748D"/>
    <w:rsid w:val="008E116E"/>
    <w:rsid w:val="008E35A6"/>
    <w:rsid w:val="008E4203"/>
    <w:rsid w:val="008E4971"/>
    <w:rsid w:val="008E63D9"/>
    <w:rsid w:val="008F1BAF"/>
    <w:rsid w:val="008F23E6"/>
    <w:rsid w:val="008F2526"/>
    <w:rsid w:val="008F6188"/>
    <w:rsid w:val="00900794"/>
    <w:rsid w:val="0090236D"/>
    <w:rsid w:val="00902C28"/>
    <w:rsid w:val="00903470"/>
    <w:rsid w:val="00905141"/>
    <w:rsid w:val="009052C4"/>
    <w:rsid w:val="00910548"/>
    <w:rsid w:val="009153EC"/>
    <w:rsid w:val="00917532"/>
    <w:rsid w:val="00921E02"/>
    <w:rsid w:val="00921F6E"/>
    <w:rsid w:val="009229F8"/>
    <w:rsid w:val="0092440D"/>
    <w:rsid w:val="0092546F"/>
    <w:rsid w:val="0092561E"/>
    <w:rsid w:val="009259E0"/>
    <w:rsid w:val="00927DF0"/>
    <w:rsid w:val="00930EAE"/>
    <w:rsid w:val="00933C9D"/>
    <w:rsid w:val="00935773"/>
    <w:rsid w:val="00936204"/>
    <w:rsid w:val="00937506"/>
    <w:rsid w:val="009379A6"/>
    <w:rsid w:val="00941CAB"/>
    <w:rsid w:val="0094343F"/>
    <w:rsid w:val="00943BA2"/>
    <w:rsid w:val="00943CBC"/>
    <w:rsid w:val="0094526B"/>
    <w:rsid w:val="0094689A"/>
    <w:rsid w:val="00951ED1"/>
    <w:rsid w:val="009538FE"/>
    <w:rsid w:val="0095425B"/>
    <w:rsid w:val="009543F4"/>
    <w:rsid w:val="009553C5"/>
    <w:rsid w:val="0096268B"/>
    <w:rsid w:val="00962C11"/>
    <w:rsid w:val="00964608"/>
    <w:rsid w:val="00964954"/>
    <w:rsid w:val="00964CEB"/>
    <w:rsid w:val="00965179"/>
    <w:rsid w:val="00966862"/>
    <w:rsid w:val="0096752D"/>
    <w:rsid w:val="00967FFB"/>
    <w:rsid w:val="00972200"/>
    <w:rsid w:val="00975497"/>
    <w:rsid w:val="0098049E"/>
    <w:rsid w:val="00985697"/>
    <w:rsid w:val="00986556"/>
    <w:rsid w:val="00990756"/>
    <w:rsid w:val="00992F75"/>
    <w:rsid w:val="00994A98"/>
    <w:rsid w:val="00994E48"/>
    <w:rsid w:val="00997E19"/>
    <w:rsid w:val="009A08E5"/>
    <w:rsid w:val="009A179C"/>
    <w:rsid w:val="009A2594"/>
    <w:rsid w:val="009A34C0"/>
    <w:rsid w:val="009A501C"/>
    <w:rsid w:val="009A6AFC"/>
    <w:rsid w:val="009B0560"/>
    <w:rsid w:val="009B1DFF"/>
    <w:rsid w:val="009B3F70"/>
    <w:rsid w:val="009B42FD"/>
    <w:rsid w:val="009B54D2"/>
    <w:rsid w:val="009B5BF7"/>
    <w:rsid w:val="009B6674"/>
    <w:rsid w:val="009B6C2B"/>
    <w:rsid w:val="009B708B"/>
    <w:rsid w:val="009C0994"/>
    <w:rsid w:val="009C5089"/>
    <w:rsid w:val="009C6064"/>
    <w:rsid w:val="009C6C2E"/>
    <w:rsid w:val="009D0301"/>
    <w:rsid w:val="009D068B"/>
    <w:rsid w:val="009D08F0"/>
    <w:rsid w:val="009D1984"/>
    <w:rsid w:val="009D42FB"/>
    <w:rsid w:val="009D51F2"/>
    <w:rsid w:val="009D5534"/>
    <w:rsid w:val="009E05D5"/>
    <w:rsid w:val="009E34A9"/>
    <w:rsid w:val="009E3F47"/>
    <w:rsid w:val="009E44E4"/>
    <w:rsid w:val="009E6672"/>
    <w:rsid w:val="009F0C2F"/>
    <w:rsid w:val="009F1C8F"/>
    <w:rsid w:val="009F22E6"/>
    <w:rsid w:val="009F3307"/>
    <w:rsid w:val="009F525E"/>
    <w:rsid w:val="009F55AE"/>
    <w:rsid w:val="009F793F"/>
    <w:rsid w:val="009F7AFD"/>
    <w:rsid w:val="00A00D6A"/>
    <w:rsid w:val="00A0104D"/>
    <w:rsid w:val="00A01766"/>
    <w:rsid w:val="00A04C54"/>
    <w:rsid w:val="00A05ABC"/>
    <w:rsid w:val="00A068C1"/>
    <w:rsid w:val="00A119ED"/>
    <w:rsid w:val="00A135DE"/>
    <w:rsid w:val="00A17A07"/>
    <w:rsid w:val="00A17D38"/>
    <w:rsid w:val="00A20E4E"/>
    <w:rsid w:val="00A22789"/>
    <w:rsid w:val="00A24F3C"/>
    <w:rsid w:val="00A26EEF"/>
    <w:rsid w:val="00A270CB"/>
    <w:rsid w:val="00A2716D"/>
    <w:rsid w:val="00A27C7E"/>
    <w:rsid w:val="00A34892"/>
    <w:rsid w:val="00A35D0E"/>
    <w:rsid w:val="00A37A36"/>
    <w:rsid w:val="00A41A41"/>
    <w:rsid w:val="00A421FF"/>
    <w:rsid w:val="00A43B5F"/>
    <w:rsid w:val="00A44CFE"/>
    <w:rsid w:val="00A456AD"/>
    <w:rsid w:val="00A45791"/>
    <w:rsid w:val="00A518D7"/>
    <w:rsid w:val="00A52466"/>
    <w:rsid w:val="00A52719"/>
    <w:rsid w:val="00A5378F"/>
    <w:rsid w:val="00A55B52"/>
    <w:rsid w:val="00A563D8"/>
    <w:rsid w:val="00A62591"/>
    <w:rsid w:val="00A6294C"/>
    <w:rsid w:val="00A63856"/>
    <w:rsid w:val="00A63D5B"/>
    <w:rsid w:val="00A72BA0"/>
    <w:rsid w:val="00A72E77"/>
    <w:rsid w:val="00A73C89"/>
    <w:rsid w:val="00A76305"/>
    <w:rsid w:val="00A80413"/>
    <w:rsid w:val="00A808B5"/>
    <w:rsid w:val="00A81303"/>
    <w:rsid w:val="00A820C2"/>
    <w:rsid w:val="00A821A7"/>
    <w:rsid w:val="00A83B02"/>
    <w:rsid w:val="00A84199"/>
    <w:rsid w:val="00A86DA6"/>
    <w:rsid w:val="00A87473"/>
    <w:rsid w:val="00A8747A"/>
    <w:rsid w:val="00A87E83"/>
    <w:rsid w:val="00A90171"/>
    <w:rsid w:val="00A903E4"/>
    <w:rsid w:val="00A9198B"/>
    <w:rsid w:val="00A922D1"/>
    <w:rsid w:val="00A92AC3"/>
    <w:rsid w:val="00A93D46"/>
    <w:rsid w:val="00A95834"/>
    <w:rsid w:val="00A95ABB"/>
    <w:rsid w:val="00A9675D"/>
    <w:rsid w:val="00A9733A"/>
    <w:rsid w:val="00A97660"/>
    <w:rsid w:val="00A978BC"/>
    <w:rsid w:val="00AA0298"/>
    <w:rsid w:val="00AB0BB3"/>
    <w:rsid w:val="00AB305D"/>
    <w:rsid w:val="00AB58B0"/>
    <w:rsid w:val="00AB69BE"/>
    <w:rsid w:val="00AB69C6"/>
    <w:rsid w:val="00AB7DA7"/>
    <w:rsid w:val="00AC0204"/>
    <w:rsid w:val="00AC02E9"/>
    <w:rsid w:val="00AC0301"/>
    <w:rsid w:val="00AC0547"/>
    <w:rsid w:val="00AC21F2"/>
    <w:rsid w:val="00AC36BE"/>
    <w:rsid w:val="00AC38EE"/>
    <w:rsid w:val="00AC544B"/>
    <w:rsid w:val="00AC5AC2"/>
    <w:rsid w:val="00AC6B27"/>
    <w:rsid w:val="00AC6B9D"/>
    <w:rsid w:val="00AD11A4"/>
    <w:rsid w:val="00AD1555"/>
    <w:rsid w:val="00AD1B10"/>
    <w:rsid w:val="00AD1D86"/>
    <w:rsid w:val="00AD5C63"/>
    <w:rsid w:val="00AD6E6A"/>
    <w:rsid w:val="00AD714A"/>
    <w:rsid w:val="00AD7B66"/>
    <w:rsid w:val="00AE3182"/>
    <w:rsid w:val="00AE4C29"/>
    <w:rsid w:val="00AE52EB"/>
    <w:rsid w:val="00AE66E6"/>
    <w:rsid w:val="00AE795D"/>
    <w:rsid w:val="00AF0BAD"/>
    <w:rsid w:val="00AF17AC"/>
    <w:rsid w:val="00AF1908"/>
    <w:rsid w:val="00AF4655"/>
    <w:rsid w:val="00AF4E2D"/>
    <w:rsid w:val="00B0202B"/>
    <w:rsid w:val="00B06311"/>
    <w:rsid w:val="00B1477D"/>
    <w:rsid w:val="00B14855"/>
    <w:rsid w:val="00B148E4"/>
    <w:rsid w:val="00B16299"/>
    <w:rsid w:val="00B210E8"/>
    <w:rsid w:val="00B2216F"/>
    <w:rsid w:val="00B22721"/>
    <w:rsid w:val="00B231CC"/>
    <w:rsid w:val="00B26471"/>
    <w:rsid w:val="00B26D5D"/>
    <w:rsid w:val="00B26EBB"/>
    <w:rsid w:val="00B26EE5"/>
    <w:rsid w:val="00B30ECE"/>
    <w:rsid w:val="00B343A8"/>
    <w:rsid w:val="00B35B37"/>
    <w:rsid w:val="00B401E7"/>
    <w:rsid w:val="00B41232"/>
    <w:rsid w:val="00B42812"/>
    <w:rsid w:val="00B4475B"/>
    <w:rsid w:val="00B45E8A"/>
    <w:rsid w:val="00B46CD1"/>
    <w:rsid w:val="00B506DC"/>
    <w:rsid w:val="00B508DF"/>
    <w:rsid w:val="00B53CDA"/>
    <w:rsid w:val="00B54B6B"/>
    <w:rsid w:val="00B54F61"/>
    <w:rsid w:val="00B55437"/>
    <w:rsid w:val="00B61531"/>
    <w:rsid w:val="00B6161A"/>
    <w:rsid w:val="00B65065"/>
    <w:rsid w:val="00B67BAE"/>
    <w:rsid w:val="00B67D79"/>
    <w:rsid w:val="00B700F5"/>
    <w:rsid w:val="00B70C3D"/>
    <w:rsid w:val="00B712D9"/>
    <w:rsid w:val="00B71BF5"/>
    <w:rsid w:val="00B728A5"/>
    <w:rsid w:val="00B75DFB"/>
    <w:rsid w:val="00B76B14"/>
    <w:rsid w:val="00B81691"/>
    <w:rsid w:val="00B832EA"/>
    <w:rsid w:val="00B839A1"/>
    <w:rsid w:val="00B8470E"/>
    <w:rsid w:val="00B8523F"/>
    <w:rsid w:val="00B86D88"/>
    <w:rsid w:val="00B86DE5"/>
    <w:rsid w:val="00B86EBF"/>
    <w:rsid w:val="00B87B58"/>
    <w:rsid w:val="00B87C1D"/>
    <w:rsid w:val="00B9195E"/>
    <w:rsid w:val="00B93F60"/>
    <w:rsid w:val="00B954B8"/>
    <w:rsid w:val="00B95743"/>
    <w:rsid w:val="00B95A35"/>
    <w:rsid w:val="00B97F29"/>
    <w:rsid w:val="00BA076A"/>
    <w:rsid w:val="00BA07A2"/>
    <w:rsid w:val="00BA1688"/>
    <w:rsid w:val="00BA2BB0"/>
    <w:rsid w:val="00BA3F04"/>
    <w:rsid w:val="00BA5CCF"/>
    <w:rsid w:val="00BB0A83"/>
    <w:rsid w:val="00BB0EC2"/>
    <w:rsid w:val="00BB173E"/>
    <w:rsid w:val="00BB37B9"/>
    <w:rsid w:val="00BB4ABB"/>
    <w:rsid w:val="00BB7950"/>
    <w:rsid w:val="00BC061F"/>
    <w:rsid w:val="00BC287B"/>
    <w:rsid w:val="00BC5C48"/>
    <w:rsid w:val="00BD1405"/>
    <w:rsid w:val="00BD167A"/>
    <w:rsid w:val="00BD218B"/>
    <w:rsid w:val="00BD3945"/>
    <w:rsid w:val="00BD3C11"/>
    <w:rsid w:val="00BD5C13"/>
    <w:rsid w:val="00BD5E48"/>
    <w:rsid w:val="00BD626F"/>
    <w:rsid w:val="00BD7203"/>
    <w:rsid w:val="00BD73DD"/>
    <w:rsid w:val="00BE1942"/>
    <w:rsid w:val="00BE212C"/>
    <w:rsid w:val="00BE3D7E"/>
    <w:rsid w:val="00BE44FD"/>
    <w:rsid w:val="00BE4F7B"/>
    <w:rsid w:val="00BE5BAB"/>
    <w:rsid w:val="00BE6F8A"/>
    <w:rsid w:val="00BF15D2"/>
    <w:rsid w:val="00BF1E4B"/>
    <w:rsid w:val="00BF3A3E"/>
    <w:rsid w:val="00BF4316"/>
    <w:rsid w:val="00BF6CAE"/>
    <w:rsid w:val="00BF707A"/>
    <w:rsid w:val="00BF7215"/>
    <w:rsid w:val="00BF7DD3"/>
    <w:rsid w:val="00C0107C"/>
    <w:rsid w:val="00C014D8"/>
    <w:rsid w:val="00C0290D"/>
    <w:rsid w:val="00C02D59"/>
    <w:rsid w:val="00C02D7A"/>
    <w:rsid w:val="00C02EDD"/>
    <w:rsid w:val="00C04482"/>
    <w:rsid w:val="00C049C2"/>
    <w:rsid w:val="00C05E5A"/>
    <w:rsid w:val="00C0691B"/>
    <w:rsid w:val="00C06B18"/>
    <w:rsid w:val="00C078AA"/>
    <w:rsid w:val="00C07BDB"/>
    <w:rsid w:val="00C11395"/>
    <w:rsid w:val="00C118AC"/>
    <w:rsid w:val="00C1193A"/>
    <w:rsid w:val="00C12BA7"/>
    <w:rsid w:val="00C12E6E"/>
    <w:rsid w:val="00C14354"/>
    <w:rsid w:val="00C145BD"/>
    <w:rsid w:val="00C15224"/>
    <w:rsid w:val="00C15D32"/>
    <w:rsid w:val="00C1675F"/>
    <w:rsid w:val="00C20C28"/>
    <w:rsid w:val="00C2429A"/>
    <w:rsid w:val="00C272A1"/>
    <w:rsid w:val="00C27E17"/>
    <w:rsid w:val="00C30C13"/>
    <w:rsid w:val="00C3499D"/>
    <w:rsid w:val="00C354D6"/>
    <w:rsid w:val="00C37638"/>
    <w:rsid w:val="00C37C1F"/>
    <w:rsid w:val="00C37DF1"/>
    <w:rsid w:val="00C37EE2"/>
    <w:rsid w:val="00C40843"/>
    <w:rsid w:val="00C40908"/>
    <w:rsid w:val="00C42270"/>
    <w:rsid w:val="00C434B2"/>
    <w:rsid w:val="00C43C33"/>
    <w:rsid w:val="00C52437"/>
    <w:rsid w:val="00C533F4"/>
    <w:rsid w:val="00C55106"/>
    <w:rsid w:val="00C56A90"/>
    <w:rsid w:val="00C57265"/>
    <w:rsid w:val="00C57D49"/>
    <w:rsid w:val="00C61139"/>
    <w:rsid w:val="00C62D70"/>
    <w:rsid w:val="00C70AEA"/>
    <w:rsid w:val="00C7166D"/>
    <w:rsid w:val="00C72295"/>
    <w:rsid w:val="00C7533F"/>
    <w:rsid w:val="00C757ED"/>
    <w:rsid w:val="00C75A1F"/>
    <w:rsid w:val="00C75C1B"/>
    <w:rsid w:val="00C7701D"/>
    <w:rsid w:val="00C776E7"/>
    <w:rsid w:val="00C7785C"/>
    <w:rsid w:val="00C8220A"/>
    <w:rsid w:val="00C83074"/>
    <w:rsid w:val="00C83A88"/>
    <w:rsid w:val="00C83C79"/>
    <w:rsid w:val="00C84B0F"/>
    <w:rsid w:val="00C84E40"/>
    <w:rsid w:val="00C855C7"/>
    <w:rsid w:val="00C878E2"/>
    <w:rsid w:val="00C92EAD"/>
    <w:rsid w:val="00C95BDB"/>
    <w:rsid w:val="00CA1326"/>
    <w:rsid w:val="00CA236F"/>
    <w:rsid w:val="00CA3996"/>
    <w:rsid w:val="00CA3E8D"/>
    <w:rsid w:val="00CB08B3"/>
    <w:rsid w:val="00CB0F55"/>
    <w:rsid w:val="00CB1596"/>
    <w:rsid w:val="00CB1E7E"/>
    <w:rsid w:val="00CB2251"/>
    <w:rsid w:val="00CB2CC6"/>
    <w:rsid w:val="00CB303B"/>
    <w:rsid w:val="00CB6052"/>
    <w:rsid w:val="00CC1F00"/>
    <w:rsid w:val="00CC29F0"/>
    <w:rsid w:val="00CC3042"/>
    <w:rsid w:val="00CC327A"/>
    <w:rsid w:val="00CC4166"/>
    <w:rsid w:val="00CC6152"/>
    <w:rsid w:val="00CC727F"/>
    <w:rsid w:val="00CD1D22"/>
    <w:rsid w:val="00CD4873"/>
    <w:rsid w:val="00CD52DC"/>
    <w:rsid w:val="00CD781E"/>
    <w:rsid w:val="00CE022B"/>
    <w:rsid w:val="00CE0828"/>
    <w:rsid w:val="00CE257F"/>
    <w:rsid w:val="00CE303A"/>
    <w:rsid w:val="00CE475B"/>
    <w:rsid w:val="00CE7254"/>
    <w:rsid w:val="00CF1498"/>
    <w:rsid w:val="00CF1946"/>
    <w:rsid w:val="00CF456B"/>
    <w:rsid w:val="00CF4640"/>
    <w:rsid w:val="00CF46C2"/>
    <w:rsid w:val="00CF6036"/>
    <w:rsid w:val="00CF7B56"/>
    <w:rsid w:val="00D0024E"/>
    <w:rsid w:val="00D00DF6"/>
    <w:rsid w:val="00D0210A"/>
    <w:rsid w:val="00D02C22"/>
    <w:rsid w:val="00D03D69"/>
    <w:rsid w:val="00D060EE"/>
    <w:rsid w:val="00D06EAD"/>
    <w:rsid w:val="00D0737E"/>
    <w:rsid w:val="00D07E60"/>
    <w:rsid w:val="00D1067F"/>
    <w:rsid w:val="00D1503C"/>
    <w:rsid w:val="00D207E0"/>
    <w:rsid w:val="00D21B87"/>
    <w:rsid w:val="00D21E5B"/>
    <w:rsid w:val="00D23B3F"/>
    <w:rsid w:val="00D23B95"/>
    <w:rsid w:val="00D27A71"/>
    <w:rsid w:val="00D30514"/>
    <w:rsid w:val="00D30BAF"/>
    <w:rsid w:val="00D31D0E"/>
    <w:rsid w:val="00D339B9"/>
    <w:rsid w:val="00D33CFD"/>
    <w:rsid w:val="00D35486"/>
    <w:rsid w:val="00D40038"/>
    <w:rsid w:val="00D416B0"/>
    <w:rsid w:val="00D41779"/>
    <w:rsid w:val="00D452EF"/>
    <w:rsid w:val="00D46495"/>
    <w:rsid w:val="00D51E4C"/>
    <w:rsid w:val="00D52995"/>
    <w:rsid w:val="00D53204"/>
    <w:rsid w:val="00D5337D"/>
    <w:rsid w:val="00D53539"/>
    <w:rsid w:val="00D53A1D"/>
    <w:rsid w:val="00D5486D"/>
    <w:rsid w:val="00D5536F"/>
    <w:rsid w:val="00D55F28"/>
    <w:rsid w:val="00D573CB"/>
    <w:rsid w:val="00D616FD"/>
    <w:rsid w:val="00D63AA1"/>
    <w:rsid w:val="00D64B26"/>
    <w:rsid w:val="00D652E8"/>
    <w:rsid w:val="00D65DF6"/>
    <w:rsid w:val="00D71621"/>
    <w:rsid w:val="00D73D95"/>
    <w:rsid w:val="00D76E90"/>
    <w:rsid w:val="00D83683"/>
    <w:rsid w:val="00D84768"/>
    <w:rsid w:val="00D87547"/>
    <w:rsid w:val="00D8761D"/>
    <w:rsid w:val="00D90004"/>
    <w:rsid w:val="00D9114D"/>
    <w:rsid w:val="00D93F00"/>
    <w:rsid w:val="00D94689"/>
    <w:rsid w:val="00D94A1E"/>
    <w:rsid w:val="00D95FFC"/>
    <w:rsid w:val="00D977D1"/>
    <w:rsid w:val="00DA047B"/>
    <w:rsid w:val="00DA2DCB"/>
    <w:rsid w:val="00DA5F69"/>
    <w:rsid w:val="00DB17B1"/>
    <w:rsid w:val="00DB22FA"/>
    <w:rsid w:val="00DB2965"/>
    <w:rsid w:val="00DB2E7E"/>
    <w:rsid w:val="00DB39B5"/>
    <w:rsid w:val="00DB7020"/>
    <w:rsid w:val="00DC4428"/>
    <w:rsid w:val="00DC712F"/>
    <w:rsid w:val="00DD05B7"/>
    <w:rsid w:val="00DD0679"/>
    <w:rsid w:val="00DD0F61"/>
    <w:rsid w:val="00DD380E"/>
    <w:rsid w:val="00DD58D6"/>
    <w:rsid w:val="00DD6881"/>
    <w:rsid w:val="00DE0393"/>
    <w:rsid w:val="00DE0CF7"/>
    <w:rsid w:val="00DE15C5"/>
    <w:rsid w:val="00DE7616"/>
    <w:rsid w:val="00DF2C6A"/>
    <w:rsid w:val="00DF317C"/>
    <w:rsid w:val="00DF3E9A"/>
    <w:rsid w:val="00E01500"/>
    <w:rsid w:val="00E027B6"/>
    <w:rsid w:val="00E04543"/>
    <w:rsid w:val="00E046D2"/>
    <w:rsid w:val="00E05809"/>
    <w:rsid w:val="00E0611C"/>
    <w:rsid w:val="00E125E5"/>
    <w:rsid w:val="00E1461A"/>
    <w:rsid w:val="00E15EFC"/>
    <w:rsid w:val="00E16D31"/>
    <w:rsid w:val="00E17BB0"/>
    <w:rsid w:val="00E17FFB"/>
    <w:rsid w:val="00E21D80"/>
    <w:rsid w:val="00E22F95"/>
    <w:rsid w:val="00E242A2"/>
    <w:rsid w:val="00E250BD"/>
    <w:rsid w:val="00E264AF"/>
    <w:rsid w:val="00E27544"/>
    <w:rsid w:val="00E27603"/>
    <w:rsid w:val="00E326D4"/>
    <w:rsid w:val="00E336CC"/>
    <w:rsid w:val="00E33B69"/>
    <w:rsid w:val="00E34F3D"/>
    <w:rsid w:val="00E3641C"/>
    <w:rsid w:val="00E366EB"/>
    <w:rsid w:val="00E3794A"/>
    <w:rsid w:val="00E37EA5"/>
    <w:rsid w:val="00E42507"/>
    <w:rsid w:val="00E44709"/>
    <w:rsid w:val="00E45890"/>
    <w:rsid w:val="00E47C09"/>
    <w:rsid w:val="00E47D5B"/>
    <w:rsid w:val="00E50051"/>
    <w:rsid w:val="00E506A7"/>
    <w:rsid w:val="00E50BE9"/>
    <w:rsid w:val="00E5386E"/>
    <w:rsid w:val="00E55406"/>
    <w:rsid w:val="00E563AB"/>
    <w:rsid w:val="00E57392"/>
    <w:rsid w:val="00E6728A"/>
    <w:rsid w:val="00E67BAC"/>
    <w:rsid w:val="00E70600"/>
    <w:rsid w:val="00E7069F"/>
    <w:rsid w:val="00E70A10"/>
    <w:rsid w:val="00E70D39"/>
    <w:rsid w:val="00E7138A"/>
    <w:rsid w:val="00E73A28"/>
    <w:rsid w:val="00E73AA9"/>
    <w:rsid w:val="00E744C2"/>
    <w:rsid w:val="00E74CA7"/>
    <w:rsid w:val="00E750A0"/>
    <w:rsid w:val="00E75482"/>
    <w:rsid w:val="00E762A2"/>
    <w:rsid w:val="00E77233"/>
    <w:rsid w:val="00E77645"/>
    <w:rsid w:val="00E80DB6"/>
    <w:rsid w:val="00E82E56"/>
    <w:rsid w:val="00E83A53"/>
    <w:rsid w:val="00E844BA"/>
    <w:rsid w:val="00E84922"/>
    <w:rsid w:val="00E917C6"/>
    <w:rsid w:val="00E9638C"/>
    <w:rsid w:val="00EA2286"/>
    <w:rsid w:val="00EA228E"/>
    <w:rsid w:val="00EB03F8"/>
    <w:rsid w:val="00EB24BA"/>
    <w:rsid w:val="00EB4B5C"/>
    <w:rsid w:val="00EB4BE0"/>
    <w:rsid w:val="00EB4DCF"/>
    <w:rsid w:val="00EB4EE4"/>
    <w:rsid w:val="00EB51AA"/>
    <w:rsid w:val="00EB6305"/>
    <w:rsid w:val="00EB6BB0"/>
    <w:rsid w:val="00EB6E16"/>
    <w:rsid w:val="00EB76E7"/>
    <w:rsid w:val="00EB790F"/>
    <w:rsid w:val="00EC13DC"/>
    <w:rsid w:val="00EC14F1"/>
    <w:rsid w:val="00EC1E29"/>
    <w:rsid w:val="00EC286A"/>
    <w:rsid w:val="00EC4B62"/>
    <w:rsid w:val="00EC5597"/>
    <w:rsid w:val="00ED1720"/>
    <w:rsid w:val="00ED3944"/>
    <w:rsid w:val="00ED5A92"/>
    <w:rsid w:val="00EE0C3F"/>
    <w:rsid w:val="00EE14FB"/>
    <w:rsid w:val="00EE3B77"/>
    <w:rsid w:val="00EE6858"/>
    <w:rsid w:val="00EE7D75"/>
    <w:rsid w:val="00EF0218"/>
    <w:rsid w:val="00EF1504"/>
    <w:rsid w:val="00EF1C4D"/>
    <w:rsid w:val="00EF1C68"/>
    <w:rsid w:val="00EF2269"/>
    <w:rsid w:val="00EF286E"/>
    <w:rsid w:val="00EF2D0E"/>
    <w:rsid w:val="00EF5A12"/>
    <w:rsid w:val="00EF69D6"/>
    <w:rsid w:val="00EF7605"/>
    <w:rsid w:val="00F00112"/>
    <w:rsid w:val="00F00886"/>
    <w:rsid w:val="00F02B48"/>
    <w:rsid w:val="00F03819"/>
    <w:rsid w:val="00F0539A"/>
    <w:rsid w:val="00F05780"/>
    <w:rsid w:val="00F05AC8"/>
    <w:rsid w:val="00F06491"/>
    <w:rsid w:val="00F065ED"/>
    <w:rsid w:val="00F06F41"/>
    <w:rsid w:val="00F07BDA"/>
    <w:rsid w:val="00F11E79"/>
    <w:rsid w:val="00F13B24"/>
    <w:rsid w:val="00F14640"/>
    <w:rsid w:val="00F151A1"/>
    <w:rsid w:val="00F17112"/>
    <w:rsid w:val="00F20ACC"/>
    <w:rsid w:val="00F20C2C"/>
    <w:rsid w:val="00F21174"/>
    <w:rsid w:val="00F21465"/>
    <w:rsid w:val="00F237F3"/>
    <w:rsid w:val="00F23B59"/>
    <w:rsid w:val="00F2774A"/>
    <w:rsid w:val="00F30DE2"/>
    <w:rsid w:val="00F32ACD"/>
    <w:rsid w:val="00F32C42"/>
    <w:rsid w:val="00F32D7D"/>
    <w:rsid w:val="00F34748"/>
    <w:rsid w:val="00F37C4B"/>
    <w:rsid w:val="00F37C4E"/>
    <w:rsid w:val="00F37E65"/>
    <w:rsid w:val="00F37E8F"/>
    <w:rsid w:val="00F37EBD"/>
    <w:rsid w:val="00F40E49"/>
    <w:rsid w:val="00F41672"/>
    <w:rsid w:val="00F422FC"/>
    <w:rsid w:val="00F42420"/>
    <w:rsid w:val="00F42637"/>
    <w:rsid w:val="00F47843"/>
    <w:rsid w:val="00F50EE6"/>
    <w:rsid w:val="00F54255"/>
    <w:rsid w:val="00F55D54"/>
    <w:rsid w:val="00F56AF6"/>
    <w:rsid w:val="00F6008E"/>
    <w:rsid w:val="00F61020"/>
    <w:rsid w:val="00F634E8"/>
    <w:rsid w:val="00F67405"/>
    <w:rsid w:val="00F6763A"/>
    <w:rsid w:val="00F70B1A"/>
    <w:rsid w:val="00F70D7F"/>
    <w:rsid w:val="00F71A5B"/>
    <w:rsid w:val="00F76405"/>
    <w:rsid w:val="00F76E5C"/>
    <w:rsid w:val="00F776EB"/>
    <w:rsid w:val="00F77A6D"/>
    <w:rsid w:val="00F819CF"/>
    <w:rsid w:val="00F8268F"/>
    <w:rsid w:val="00F82C08"/>
    <w:rsid w:val="00F84400"/>
    <w:rsid w:val="00F86E6A"/>
    <w:rsid w:val="00F90BC8"/>
    <w:rsid w:val="00F91AD3"/>
    <w:rsid w:val="00F927FD"/>
    <w:rsid w:val="00F93178"/>
    <w:rsid w:val="00F93CE3"/>
    <w:rsid w:val="00F94C1A"/>
    <w:rsid w:val="00F95F8D"/>
    <w:rsid w:val="00F96AAD"/>
    <w:rsid w:val="00F97093"/>
    <w:rsid w:val="00F979CD"/>
    <w:rsid w:val="00FA22F1"/>
    <w:rsid w:val="00FA3DC8"/>
    <w:rsid w:val="00FA7635"/>
    <w:rsid w:val="00FA7765"/>
    <w:rsid w:val="00FB0173"/>
    <w:rsid w:val="00FB0330"/>
    <w:rsid w:val="00FB288F"/>
    <w:rsid w:val="00FB4180"/>
    <w:rsid w:val="00FB4E8A"/>
    <w:rsid w:val="00FB645D"/>
    <w:rsid w:val="00FC0437"/>
    <w:rsid w:val="00FC2298"/>
    <w:rsid w:val="00FC2620"/>
    <w:rsid w:val="00FC3966"/>
    <w:rsid w:val="00FC3BF6"/>
    <w:rsid w:val="00FC4984"/>
    <w:rsid w:val="00FC4A90"/>
    <w:rsid w:val="00FC4E8F"/>
    <w:rsid w:val="00FC5209"/>
    <w:rsid w:val="00FC52D6"/>
    <w:rsid w:val="00FC63E7"/>
    <w:rsid w:val="00FC6EB1"/>
    <w:rsid w:val="00FD46C7"/>
    <w:rsid w:val="00FD4CBD"/>
    <w:rsid w:val="00FD7175"/>
    <w:rsid w:val="00FE0349"/>
    <w:rsid w:val="00FE0F7E"/>
    <w:rsid w:val="00FE2400"/>
    <w:rsid w:val="00FE254D"/>
    <w:rsid w:val="00FE35BE"/>
    <w:rsid w:val="00FE49DF"/>
    <w:rsid w:val="00FE4A6A"/>
    <w:rsid w:val="00FE567A"/>
    <w:rsid w:val="00FE59B7"/>
    <w:rsid w:val="00FE5C0E"/>
    <w:rsid w:val="00FE614A"/>
    <w:rsid w:val="00FE72C4"/>
    <w:rsid w:val="00FE757E"/>
    <w:rsid w:val="00FE7BD7"/>
    <w:rsid w:val="00FF3413"/>
    <w:rsid w:val="00FF4F39"/>
    <w:rsid w:val="0198EAFA"/>
    <w:rsid w:val="024AAC51"/>
    <w:rsid w:val="02D06C71"/>
    <w:rsid w:val="03AE6A81"/>
    <w:rsid w:val="04A0116B"/>
    <w:rsid w:val="0680EDBA"/>
    <w:rsid w:val="06B70F32"/>
    <w:rsid w:val="0794D8BC"/>
    <w:rsid w:val="079669EA"/>
    <w:rsid w:val="0973F1C1"/>
    <w:rsid w:val="0C638F08"/>
    <w:rsid w:val="0ECD7CD1"/>
    <w:rsid w:val="1299B5E1"/>
    <w:rsid w:val="15650763"/>
    <w:rsid w:val="17E0E7B8"/>
    <w:rsid w:val="18DFBACD"/>
    <w:rsid w:val="1E9915BF"/>
    <w:rsid w:val="1F3167D7"/>
    <w:rsid w:val="243223DE"/>
    <w:rsid w:val="24CA0AAC"/>
    <w:rsid w:val="2516B968"/>
    <w:rsid w:val="26428E91"/>
    <w:rsid w:val="275DA976"/>
    <w:rsid w:val="2AC0BF2F"/>
    <w:rsid w:val="2AC93FE1"/>
    <w:rsid w:val="2ACD4170"/>
    <w:rsid w:val="2C6C8828"/>
    <w:rsid w:val="2D701C1A"/>
    <w:rsid w:val="2DF31988"/>
    <w:rsid w:val="2F5DA761"/>
    <w:rsid w:val="2FBD9A0C"/>
    <w:rsid w:val="30F7FEB6"/>
    <w:rsid w:val="31552C62"/>
    <w:rsid w:val="34664A92"/>
    <w:rsid w:val="3623957D"/>
    <w:rsid w:val="369C7A5A"/>
    <w:rsid w:val="37876B68"/>
    <w:rsid w:val="384A02C2"/>
    <w:rsid w:val="38BFC071"/>
    <w:rsid w:val="39A6ECE1"/>
    <w:rsid w:val="3BFED223"/>
    <w:rsid w:val="3C4432B8"/>
    <w:rsid w:val="3E8654D7"/>
    <w:rsid w:val="3E90AB97"/>
    <w:rsid w:val="41286C84"/>
    <w:rsid w:val="4170B6CD"/>
    <w:rsid w:val="45D252DF"/>
    <w:rsid w:val="47176B5B"/>
    <w:rsid w:val="4A94F93B"/>
    <w:rsid w:val="4BB89753"/>
    <w:rsid w:val="4C551CF7"/>
    <w:rsid w:val="4EB95D2B"/>
    <w:rsid w:val="4F435DDB"/>
    <w:rsid w:val="4FB2F4CA"/>
    <w:rsid w:val="51CC6B62"/>
    <w:rsid w:val="5399C850"/>
    <w:rsid w:val="53D21E3B"/>
    <w:rsid w:val="546D26AA"/>
    <w:rsid w:val="551EC7B9"/>
    <w:rsid w:val="56E921B2"/>
    <w:rsid w:val="5808D334"/>
    <w:rsid w:val="5B146FFC"/>
    <w:rsid w:val="61C64D28"/>
    <w:rsid w:val="645AC4FE"/>
    <w:rsid w:val="66828CD4"/>
    <w:rsid w:val="66874309"/>
    <w:rsid w:val="66A9FFC8"/>
    <w:rsid w:val="66DD4BA6"/>
    <w:rsid w:val="688A1661"/>
    <w:rsid w:val="6A38993F"/>
    <w:rsid w:val="6AA354A2"/>
    <w:rsid w:val="6C8A65D5"/>
    <w:rsid w:val="70159E12"/>
    <w:rsid w:val="70851697"/>
    <w:rsid w:val="721D99C5"/>
    <w:rsid w:val="746E0DFE"/>
    <w:rsid w:val="754C6632"/>
    <w:rsid w:val="788B9FE9"/>
    <w:rsid w:val="78B12C0E"/>
    <w:rsid w:val="79390060"/>
    <w:rsid w:val="7E005DCC"/>
    <w:rsid w:val="7E2A9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8A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44E"/>
    <w:rPr>
      <w:lang w:val="pt-BR"/>
    </w:rPr>
  </w:style>
  <w:style w:type="paragraph" w:styleId="Ttulo2">
    <w:name w:val="heading 2"/>
    <w:basedOn w:val="Normal"/>
    <w:next w:val="Normal"/>
    <w:link w:val="Ttulo2Char"/>
    <w:qFormat/>
    <w:rsid w:val="00EB6BB0"/>
    <w:pPr>
      <w:keepNext/>
      <w:widowControl/>
      <w:spacing w:before="80" w:after="80" w:line="360" w:lineRule="auto"/>
      <w:ind w:left="210" w:right="210"/>
      <w:outlineLvl w:val="1"/>
    </w:pPr>
    <w:rPr>
      <w:rFonts w:ascii="Arial" w:eastAsia="Times New Roman" w:hAnsi="Arial" w:cs="Arial"/>
      <w:b/>
      <w:bCs/>
      <w:color w:val="000000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78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843"/>
  </w:style>
  <w:style w:type="paragraph" w:styleId="Rodap">
    <w:name w:val="footer"/>
    <w:basedOn w:val="Normal"/>
    <w:link w:val="RodapChar"/>
    <w:uiPriority w:val="99"/>
    <w:unhideWhenUsed/>
    <w:rsid w:val="00F478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843"/>
  </w:style>
  <w:style w:type="paragraph" w:styleId="Textodebalo">
    <w:name w:val="Balloon Text"/>
    <w:basedOn w:val="Normal"/>
    <w:link w:val="TextodebaloChar"/>
    <w:uiPriority w:val="99"/>
    <w:semiHidden/>
    <w:unhideWhenUsed/>
    <w:rsid w:val="005323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60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B30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30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30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0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05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C4E8F"/>
    <w:pPr>
      <w:widowControl/>
    </w:pPr>
  </w:style>
  <w:style w:type="character" w:styleId="Hyperlink">
    <w:name w:val="Hyperlink"/>
    <w:basedOn w:val="Fontepargpadro"/>
    <w:uiPriority w:val="99"/>
    <w:unhideWhenUsed/>
    <w:rsid w:val="00FE7BD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7BD7"/>
    <w:rPr>
      <w:color w:val="605E5C"/>
      <w:shd w:val="clear" w:color="auto" w:fill="E1DFDD"/>
    </w:rPr>
  </w:style>
  <w:style w:type="paragraph" w:customStyle="1" w:styleId="Numeraoartigo">
    <w:name w:val="Numeração artigo"/>
    <w:basedOn w:val="Normal"/>
    <w:link w:val="NumeraoartigoChar"/>
    <w:autoRedefine/>
    <w:qFormat/>
    <w:rsid w:val="00722BC8"/>
    <w:pPr>
      <w:numPr>
        <w:numId w:val="11"/>
      </w:numPr>
      <w:spacing w:before="120" w:line="360" w:lineRule="auto"/>
      <w:jc w:val="both"/>
    </w:pPr>
    <w:rPr>
      <w:rFonts w:ascii="Times New Roman" w:hAnsi="Times New Roman"/>
      <w:sz w:val="24"/>
    </w:rPr>
  </w:style>
  <w:style w:type="paragraph" w:customStyle="1" w:styleId="Numeraoartigo2">
    <w:name w:val="Numeração artigo 2"/>
    <w:basedOn w:val="Numeraoartigo"/>
    <w:qFormat/>
    <w:rsid w:val="00882B10"/>
    <w:pPr>
      <w:numPr>
        <w:numId w:val="15"/>
      </w:numPr>
      <w:ind w:left="3763"/>
    </w:pPr>
  </w:style>
  <w:style w:type="character" w:customStyle="1" w:styleId="NumeraoartigoChar">
    <w:name w:val="Numeração artigo Char"/>
    <w:basedOn w:val="Fontepargpadro"/>
    <w:link w:val="Numeraoartigo"/>
    <w:rsid w:val="00722BC8"/>
    <w:rPr>
      <w:rFonts w:ascii="Times New Roman" w:hAnsi="Times New Roman"/>
      <w:sz w:val="24"/>
      <w:lang w:val="pt-BR"/>
    </w:rPr>
  </w:style>
  <w:style w:type="paragraph" w:customStyle="1" w:styleId="Artigopargrafos">
    <w:name w:val="Artigo parágrafos"/>
    <w:basedOn w:val="Numeraoartigo"/>
    <w:qFormat/>
    <w:rsid w:val="003A776C"/>
    <w:pPr>
      <w:numPr>
        <w:numId w:val="12"/>
      </w:numPr>
    </w:pPr>
  </w:style>
  <w:style w:type="paragraph" w:customStyle="1" w:styleId="dou-paragraph">
    <w:name w:val="dou-paragraph"/>
    <w:basedOn w:val="Normal"/>
    <w:rsid w:val="00EA22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B184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4A78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78F2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35666B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4A0EA9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EB6BB0"/>
    <w:rPr>
      <w:rFonts w:ascii="Arial" w:eastAsia="Times New Roman" w:hAnsi="Arial" w:cs="Arial"/>
      <w:b/>
      <w:bCs/>
      <w:color w:val="000000"/>
      <w:lang w:val="es-ES_tradnl" w:eastAsia="pt-BR"/>
    </w:rPr>
  </w:style>
  <w:style w:type="table" w:customStyle="1" w:styleId="TabeladeGrade4-nfase11">
    <w:name w:val="Tabela de Grade 4 - Ênfase 11"/>
    <w:basedOn w:val="Tabelanormal"/>
    <w:uiPriority w:val="49"/>
    <w:rsid w:val="00EB6BB0"/>
    <w:pPr>
      <w:widowControl/>
      <w:spacing w:before="80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argrafodaListaChar">
    <w:name w:val="Parágrafo da Lista Char"/>
    <w:link w:val="PargrafodaLista"/>
    <w:uiPriority w:val="34"/>
    <w:rsid w:val="00EB6BB0"/>
  </w:style>
  <w:style w:type="character" w:customStyle="1" w:styleId="apple-converted-space">
    <w:name w:val="apple-converted-space"/>
    <w:basedOn w:val="Fontepargpadro"/>
    <w:rsid w:val="00EB6BB0"/>
  </w:style>
  <w:style w:type="paragraph" w:customStyle="1" w:styleId="m-64791522046300006xxmsolistparagraph">
    <w:name w:val="m_-64791522046300006xxmsolistparagraph"/>
    <w:basedOn w:val="Normal"/>
    <w:rsid w:val="00F86E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19DCF2FC04783BE14A18D762B49" ma:contentTypeVersion="6" ma:contentTypeDescription="Crie um novo documento." ma:contentTypeScope="" ma:versionID="26a0a4761d569c62ea1ed433b041118f">
  <xsd:schema xmlns:xsd="http://www.w3.org/2001/XMLSchema" xmlns:xs="http://www.w3.org/2001/XMLSchema" xmlns:p="http://schemas.microsoft.com/office/2006/metadata/properties" xmlns:ns2="ef1c3c3c-2ca9-472b-893a-dba506719f7d" targetNamespace="http://schemas.microsoft.com/office/2006/metadata/properties" ma:root="true" ma:fieldsID="bd940c24b0e62d33ecdb067086740df4" ns2:_="">
    <xsd:import namespace="ef1c3c3c-2ca9-472b-893a-dba506719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3c3c-2ca9-472b-893a-dba50671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288C4-70DE-427D-A881-BECD6CE9B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628C7-F539-4DD4-BD6F-30CFB4CD43D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1c3c3c-2ca9-472b-893a-dba506719f7d"/>
  </ds:schemaRefs>
</ds:datastoreItem>
</file>

<file path=customXml/itemProps3.xml><?xml version="1.0" encoding="utf-8"?>
<ds:datastoreItem xmlns:ds="http://schemas.openxmlformats.org/officeDocument/2006/customXml" ds:itemID="{2CF53A56-0329-4B8B-86BA-3EC721C7AE4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15F1B30B-7964-4774-B4FB-A7347E4A3B6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5312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2020-12-14T15:44:00Z</dcterms:created>
  <dcterms:modified xsi:type="dcterms:W3CDTF">2020-12-14T15:44:00Z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0x0101007CE0019DCF2FC04783BE14A18D762B49</vt:lpwstr>
  </property>
</Properties>
</file>